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222" w:rsidRDefault="00286222">
      <w:pPr>
        <w:rPr>
          <w:lang w:val="ru-RU"/>
        </w:rPr>
      </w:pPr>
      <w:r>
        <w:t xml:space="preserve">Введение </w:t>
      </w:r>
    </w:p>
    <w:p w:rsidR="00286222" w:rsidRDefault="00286222">
      <w:pPr>
        <w:rPr>
          <w:lang w:val="ru-RU"/>
        </w:rPr>
      </w:pPr>
      <w:r>
        <w:t xml:space="preserve">Актуальность темы исследования </w:t>
      </w:r>
    </w:p>
    <w:p w:rsidR="00CA5140" w:rsidRPr="00286222" w:rsidRDefault="00286222">
      <w:pPr>
        <w:rPr>
          <w:lang w:val="ru-RU"/>
        </w:rPr>
      </w:pPr>
      <w:bookmarkStart w:id="0" w:name="_GoBack"/>
      <w:bookmarkEnd w:id="0"/>
      <w:r>
        <w:t>В последней трети XIX в. в Российской империи в «повестку дня» остро встал так называемый «рабочий вопрос». Отмена крепостного права в 1861 г. способствовала формированию рынка свободной рабочей силы. Активное внедрение машин и станков на промышленных предприятиях вело к увеличению продолжительности рабочего дня, к повышению уровня производственного травматизма и иным негативным явлениям, ухудшающим условия труда рабочих и обострявшим их отношения с работодателями. Правовой формой разрешения «рабочего вопроса» явилась выработка фабрично-заводского законодательства — нормативных актов, призванных регламентировать условия найма и труда рабочих. Научная актуальность избранной темы обусловлена недостаточной ее изученностью. Несмотря на наличие ряда исследований, посвященных становлению фабричного законодательства в России, историками права не было уделено должного внимания его применению, в особенности, в деятельности фабричной инспекции, губернских присутствий по фабричным и горнозаводским делам и окружных судов. Также до сих пор специально не ставилась проблема определения и нормативного закрепления в фабричных законах гарантий социальноэкономических прав рабочих на труд, на отдых, на вознаграждение вреда здоровью. Изучение данных вопросов, как представляется, позволит выявить основные направления государственной политики Российской империи в сфере регулирования наемного труда в период с 1882 по 1917 гг. Обращение к истории правового регулирования трудовых отношений в условиях многоукладной экономики Российской империи имеет большое значение. Знание исторического опыта регламентации наемного труда может стать подспорьем для уяснения состояния и тенденций развития современного законодательства о труде. Материалы правительственных комиссий по подготовке фабричных законов, а также исследования представителей дореволюционной юридической науки Н.М. Коркунова, П.И. Новгородцева, Б.А. Кистяковского, И.А. По- 4 кровского, С.И. Гессена содержат оригинальные подходы; отдельные принципы могут быть использованы при регламентации наемного труда в наши дни. В конце XIX в. в работах отечественных правоведов была разработана идея о праве личности на достойное человеческое существование, которое рассматривалось в близкой связи с правом на труд. Представляется, что до сих пор в России право на достойное существование не нашло своей должной конкретизации и развития, несмотря на то, что Российская Федерация ст. 7 Конституции от 12 декабря 1993 г. провозглашена социальным государством. Так, в ходе публичного выступления на Социальном форуме в рамках недели российского бизнеса 14 марта 2017 года вице-премьер правительства РФ О. Голодец назвала уникальной ситуацию, сложившуюся в экономике страны, когда миллионы граждан, официально работая, остаются бедными, что порождает необходимость повышения минимального размера оплаты труда1 . Изучение становления и развития фабричного законодательства России позволяет также прогнозировать социальные последствия принятия тех или иных законов в сфере труда, избежать одобрения инициатив, которые могут негативно отразиться на правах работников. К числу последних следует отнести, на наш взгляд, предложение Российского союза промышленников и предпринимателей (РСПП) об увеличении нормальной продолжительности рабочей недел</w:t>
      </w:r>
      <w:r>
        <w:t xml:space="preserve">и до 60 часов2 . </w:t>
      </w:r>
    </w:p>
    <w:sectPr w:rsidR="00CA5140" w:rsidRPr="00286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6B0"/>
    <w:rsid w:val="00286222"/>
    <w:rsid w:val="00C516B0"/>
    <w:rsid w:val="00CA5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499</Words>
  <Characters>2849</Characters>
  <Application>Microsoft Office Word</Application>
  <DocSecurity>0</DocSecurity>
  <Lines>23</Lines>
  <Paragraphs>6</Paragraphs>
  <ScaleCrop>false</ScaleCrop>
  <Company>diakov.net</Company>
  <LinksUpToDate>false</LinksUpToDate>
  <CharactersWithSpaces>3342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2024-02-27T07:48:00Z</dcterms:created>
  <dcterms:modified xsi:type="dcterms:W3CDTF">2024-02-27T07:49:00Z</dcterms:modified>
</cp:coreProperties>
</file>