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76" w:rsidRPr="00EF4076" w:rsidRDefault="00EF4076" w:rsidP="00EF4076">
      <w:pPr>
        <w:numPr>
          <w:ilvl w:val="0"/>
          <w:numId w:val="1"/>
        </w:numPr>
        <w:shd w:val="clear" w:color="auto" w:fill="FFFFFF"/>
        <w:spacing w:after="0" w:line="240" w:lineRule="auto"/>
        <w:ind w:left="0" w:right="60"/>
        <w:textAlignment w:val="top"/>
        <w:rPr>
          <w:rFonts w:ascii="Arial" w:eastAsia="Times New Roman" w:hAnsi="Arial" w:cs="Arial"/>
          <w:color w:val="3E4040"/>
          <w:sz w:val="27"/>
          <w:szCs w:val="27"/>
          <w:lang/>
        </w:rPr>
      </w:pPr>
      <w:hyperlink r:id="rId6" w:tgtFrame="_blank" w:tooltip="Одноклассники" w:history="1">
        <w:r w:rsidRPr="00EF4076">
          <w:rPr>
            <w:rFonts w:ascii="inherit" w:eastAsia="Times New Roman" w:hAnsi="inherit" w:cs="Arial"/>
            <w:color w:val="FFFFFF"/>
            <w:sz w:val="21"/>
            <w:szCs w:val="21"/>
            <w:bdr w:val="none" w:sz="0" w:space="0" w:color="auto" w:frame="1"/>
            <w:shd w:val="clear" w:color="auto" w:fill="FF7700"/>
            <w:lang/>
          </w:rPr>
          <w:br/>
        </w:r>
      </w:hyperlink>
    </w:p>
    <w:p w:rsidR="00EF4076" w:rsidRPr="00EF4076" w:rsidRDefault="00EF4076" w:rsidP="00EF4076">
      <w:pPr>
        <w:numPr>
          <w:ilvl w:val="0"/>
          <w:numId w:val="1"/>
        </w:numPr>
        <w:shd w:val="clear" w:color="auto" w:fill="FFFFFF"/>
        <w:spacing w:after="0" w:line="240" w:lineRule="auto"/>
        <w:ind w:left="0" w:right="60"/>
        <w:textAlignment w:val="top"/>
        <w:rPr>
          <w:rFonts w:ascii="Arial" w:eastAsia="Times New Roman" w:hAnsi="Arial" w:cs="Arial"/>
          <w:color w:val="3E4040"/>
          <w:sz w:val="27"/>
          <w:szCs w:val="27"/>
          <w:lang/>
        </w:rPr>
      </w:pPr>
    </w:p>
    <w:p w:rsidR="00EF4076" w:rsidRPr="00EF4076" w:rsidRDefault="00EF4076" w:rsidP="00EF4076">
      <w:pPr>
        <w:numPr>
          <w:ilvl w:val="0"/>
          <w:numId w:val="1"/>
        </w:numPr>
        <w:shd w:val="clear" w:color="auto" w:fill="FFFFFF"/>
        <w:spacing w:after="0" w:line="240" w:lineRule="auto"/>
        <w:ind w:left="0"/>
        <w:textAlignment w:val="top"/>
        <w:rPr>
          <w:rFonts w:ascii="Arial" w:eastAsia="Times New Roman" w:hAnsi="Arial" w:cs="Arial"/>
          <w:color w:val="3E4040"/>
          <w:sz w:val="27"/>
          <w:szCs w:val="27"/>
          <w:lang/>
        </w:rPr>
      </w:pP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Членские взносы являются одним из основных источников формирования имущества организаций собственников, а их несвоевременная уплата нередко приводит к судебным спорам между указанными организациями и их членами. В настоящей статье приведен анализ судебной практики по данной категории дел, а также рассмотрены наиболее распространенные доводы сторон в рамках производств о взыскании задолженности.</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1. Правовое регулирование</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Членский взнос – денежные средства, периодически вносимые членом организации собственников на цели, связанные с деятельностью организации собственников, в том числе на оплату труда работников, вознаграждение членов правления, членов ревизионной комиссии (</w:t>
      </w:r>
      <w:hyperlink r:id="rId7" w:history="1">
        <w:r w:rsidRPr="00EF4076">
          <w:rPr>
            <w:rFonts w:ascii="inherit" w:eastAsia="Times New Roman" w:hAnsi="inherit" w:cs="Times New Roman"/>
            <w:color w:val="00BCD4"/>
            <w:sz w:val="27"/>
            <w:szCs w:val="27"/>
            <w:bdr w:val="none" w:sz="0" w:space="0" w:color="auto" w:frame="1"/>
            <w:lang/>
          </w:rPr>
          <w:t>п. 60 ст. 1</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В уставе организации собственников указываются в том числе состав и порядок внесения вступительного, членских и целевых взносов (</w:t>
      </w:r>
      <w:hyperlink r:id="rId8" w:history="1">
        <w:r w:rsidRPr="00EF4076">
          <w:rPr>
            <w:rFonts w:ascii="inherit" w:eastAsia="Times New Roman" w:hAnsi="inherit" w:cs="Times New Roman"/>
            <w:color w:val="00BCD4"/>
            <w:sz w:val="27"/>
            <w:szCs w:val="27"/>
            <w:bdr w:val="none" w:sz="0" w:space="0" w:color="auto" w:frame="1"/>
            <w:lang/>
          </w:rPr>
          <w:t>абз. 7 п. 2 ст. 164</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Установление размеров, состава и порядка внесения всех видов взносов относится к исключительной компетенции общего собрания членов организации собственников (</w:t>
      </w:r>
      <w:hyperlink r:id="rId9" w:history="1">
        <w:r w:rsidRPr="00EF4076">
          <w:rPr>
            <w:rFonts w:ascii="inherit" w:eastAsia="Times New Roman" w:hAnsi="inherit" w:cs="Times New Roman"/>
            <w:color w:val="00BCD4"/>
            <w:sz w:val="27"/>
            <w:szCs w:val="27"/>
            <w:bdr w:val="none" w:sz="0" w:space="0" w:color="auto" w:frame="1"/>
            <w:lang/>
          </w:rPr>
          <w:t>абз. 4 п. 1 ст. 167</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Организация собственников имеет право устанавливать в установленном порядке размеры взносов, а товарищество собственников также размеры обязательных платежей (</w:t>
      </w:r>
      <w:hyperlink r:id="rId10" w:history="1">
        <w:r w:rsidRPr="00EF4076">
          <w:rPr>
            <w:rFonts w:ascii="inherit" w:eastAsia="Times New Roman" w:hAnsi="inherit" w:cs="Times New Roman"/>
            <w:color w:val="00BCD4"/>
            <w:sz w:val="27"/>
            <w:szCs w:val="27"/>
            <w:bdr w:val="none" w:sz="0" w:space="0" w:color="auto" w:frame="1"/>
            <w:lang/>
          </w:rPr>
          <w:t>абз. 7 п. 1 ст. 177</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Член организации собственников обязан своевременно и в полном объеме вносить вступительный, членские и целевые взносы и иные платежи, предусмотренные законодательством (</w:t>
      </w:r>
      <w:hyperlink r:id="rId11" w:history="1">
        <w:r w:rsidRPr="00EF4076">
          <w:rPr>
            <w:rFonts w:ascii="inherit" w:eastAsia="Times New Roman" w:hAnsi="inherit" w:cs="Times New Roman"/>
            <w:color w:val="00BCD4"/>
            <w:sz w:val="27"/>
            <w:szCs w:val="27"/>
            <w:bdr w:val="none" w:sz="0" w:space="0" w:color="auto" w:frame="1"/>
            <w:lang/>
          </w:rPr>
          <w:t>абз. 5 п. 4 ст. 179</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Для дополнительного финансирования работ и мероприятий, связанных с управлением и эксплуатацией общего имущества совместного домовладения, члены организации собственников уплачивают членские и целевые взносы (</w:t>
      </w:r>
      <w:hyperlink r:id="rId12" w:history="1">
        <w:r w:rsidRPr="00EF4076">
          <w:rPr>
            <w:rFonts w:ascii="inherit" w:eastAsia="Times New Roman" w:hAnsi="inherit" w:cs="Times New Roman"/>
            <w:color w:val="00BCD4"/>
            <w:sz w:val="27"/>
            <w:szCs w:val="27"/>
            <w:bdr w:val="none" w:sz="0" w:space="0" w:color="auto" w:frame="1"/>
            <w:lang/>
          </w:rPr>
          <w:t>п. 1 ст. 183</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lastRenderedPageBreak/>
        <w:t>Взносы членами организации собственников вносятся в сроки, установленные уставом и решением общего собрания (собрания уполномоченных) членов организации собственников (</w:t>
      </w:r>
      <w:hyperlink r:id="rId13" w:history="1">
        <w:r w:rsidRPr="00EF4076">
          <w:rPr>
            <w:rFonts w:ascii="inherit" w:eastAsia="Times New Roman" w:hAnsi="inherit" w:cs="Times New Roman"/>
            <w:color w:val="00BCD4"/>
            <w:sz w:val="27"/>
            <w:szCs w:val="27"/>
            <w:bdr w:val="none" w:sz="0" w:space="0" w:color="auto" w:frame="1"/>
            <w:lang/>
          </w:rPr>
          <w:t>п. 2 ст. 183</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Разногласия по вопросам внесения взносов рассматриваются правлением организации собственников, общим собранием (собранием уполномоченных) членов организации собственников, а в случае недостижения согласия по этим вопросам – судом (</w:t>
      </w:r>
      <w:hyperlink r:id="rId14" w:history="1">
        <w:r w:rsidRPr="00EF4076">
          <w:rPr>
            <w:rFonts w:ascii="inherit" w:eastAsia="Times New Roman" w:hAnsi="inherit" w:cs="Times New Roman"/>
            <w:color w:val="00BCD4"/>
            <w:sz w:val="27"/>
            <w:szCs w:val="27"/>
            <w:bdr w:val="none" w:sz="0" w:space="0" w:color="auto" w:frame="1"/>
            <w:lang/>
          </w:rPr>
          <w:t>п. 6 ст. 183</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2. Судебная практика</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Типичными доводами, которые приводят должники в качестве возражений против иска о взыскании членских взносов, являются реальные либо мнимые недостатки, допущенные при определении размера указанных взносов, юридического оформления в протоколе общего собрания (собрания уполномоченных) и выставлении сумм к оплате. Рассмотрим некоторые из этих аргументов на конкретном примере.</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Пример 1</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ТС обратилось в суд с иском к С. о взыскании задолженности по членским взносам. В обоснование требований истец указал, что решением общего собрания членов ТС была утверждена годовая смета доходов и расходов, в которой указан размер членского взноса и приведен его расчет.</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 возражала против иска по следующим основаниям:</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1) приведенный в смете расчет членского взноса является неверным. Следовательно, членский взнос не может быть взыскан в указанном размере;</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2) решением общего собрания утверждена смета доходов и расходов на конкретный календарный год, после окончания которого членский взнос не подлежал уплате;</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 xml:space="preserve">3) в нарушение требований законодательства размер членского взноса указывался истцом в извещениях об оплате жилищно-коммунальных услуг в </w:t>
      </w:r>
      <w:r w:rsidRPr="00EF4076">
        <w:rPr>
          <w:rFonts w:ascii="inherit" w:eastAsia="Times New Roman" w:hAnsi="inherit" w:cs="Times New Roman"/>
          <w:color w:val="3E4040"/>
          <w:sz w:val="27"/>
          <w:szCs w:val="27"/>
          <w:lang/>
        </w:rPr>
        <w:lastRenderedPageBreak/>
        <w:t>графе «дополнительные услуги». Договор об оказании данных услуг не заключался, в связи с чем требование об их взыскании незаконно.</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Иск ТС был удовлетворен по следующим причинам. Суд установил, что в расчете взноса действительно допущена арифметическая ошибка. Вместе с тем размер взноса является итоговым решением общего собрания, а его расчет — обоснованием. В связи с тем что общее собрание, обладающее исключительной компетенцией по установлению обязательных платежей, согласилось с окончательным размером взноса, допущенная при его расчете ошибка не влияет на легитимность решения.</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Смета доходов и расходов была утверждена на календарный год, однако в ней отсутствует указание на конкретный срок действия размера членских взносов. В связи с этим довод ответчика о том, что по истечении года данные взносы не подлежат уплате, признан несостоятельным.</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Суд также отметил, что обязанность по внесению членских взносов существует вне зависимости от выставления в извещениях. Соответственно, неправомерное указание их размера в графе «дополнительные услуги» не препятствует удовлетворению иска.</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Суд апелляционной инстанции оставил решение суда без изменения, а апелляционную жалобу С. без удовлетворения.</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Несмотря на то что в рассматриваемом случае суд принял сторону истца, отметим, что вопрос о временном периоде, в течение которого действует установленный в смете на конкретный календарный год размер членского взноса, является оценочным. В связи с этим при указании размера членского взноса в смете доходов и расходов (что является распространенной практикой) целесообразно оговорить, что решение в данной части действует бессрочно (либо до отмены взноса или установления его нового размера).</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lastRenderedPageBreak/>
        <w:t>При рассмотрении данной категории дел ответчики нередко ссылаются на невнесение сведений о размерах, составе и порядке уплаты членских взносов в устав ТС. Особенно характерны данные случаи для товариществ, не приведших свои уставы в соответствие с актуальной редакцией </w:t>
      </w:r>
      <w:hyperlink r:id="rId15" w:history="1">
        <w:r w:rsidRPr="00EF4076">
          <w:rPr>
            <w:rFonts w:ascii="inherit" w:eastAsia="Times New Roman" w:hAnsi="inherit" w:cs="Times New Roman"/>
            <w:color w:val="00BCD4"/>
            <w:sz w:val="27"/>
            <w:szCs w:val="27"/>
            <w:bdr w:val="none" w:sz="0" w:space="0" w:color="auto" w:frame="1"/>
            <w:lang/>
          </w:rPr>
          <w:t>ЖК</w:t>
        </w:r>
      </w:hyperlink>
      <w:r w:rsidRPr="00EF4076">
        <w:rPr>
          <w:rFonts w:ascii="inherit" w:eastAsia="Times New Roman" w:hAnsi="inherit" w:cs="Times New Roman"/>
          <w:color w:val="3E4040"/>
          <w:sz w:val="27"/>
          <w:szCs w:val="27"/>
          <w:lang/>
        </w:rPr>
        <w:t>.</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Пример 2</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ТС обратилось в суд с иском о взыскании задолженности по членским взносам, размер и сроки уплаты которых были утверждены решением общего собрания.</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Возражая против иска, ответчик указал, что размеры, состав и порядок внесения членских взносов должны быть указаны в уставе. Данный факт следует как из </w:t>
      </w:r>
      <w:hyperlink r:id="rId16" w:history="1">
        <w:r w:rsidRPr="00EF4076">
          <w:rPr>
            <w:rFonts w:ascii="inherit" w:eastAsia="Times New Roman" w:hAnsi="inherit" w:cs="Times New Roman"/>
            <w:color w:val="00BCD4"/>
            <w:sz w:val="27"/>
            <w:szCs w:val="27"/>
            <w:bdr w:val="none" w:sz="0" w:space="0" w:color="auto" w:frame="1"/>
            <w:lang/>
          </w:rPr>
          <w:t>абз. 7 п. 3 ст. 209</w:t>
        </w:r>
      </w:hyperlink>
      <w:r w:rsidRPr="00EF4076">
        <w:rPr>
          <w:rFonts w:ascii="inherit" w:eastAsia="Times New Roman" w:hAnsi="inherit" w:cs="Times New Roman"/>
          <w:color w:val="3E4040"/>
          <w:sz w:val="27"/>
          <w:szCs w:val="27"/>
          <w:lang/>
        </w:rPr>
        <w:t> ЖК (в ред. от 13.11.2017), действовавшей на момент принятия решения общего собрания, так и в самом уставе ТС. Если соответствующие изменения не были внесены в устав, то решение является юридически не обязательным и не подлежащим исполнению.</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Суд удовлетворил заявленные требования, указав, что наличие либо отсутствие в уставе сведений о размере, составе и порядке внесения взносов не является основанием для освобождения ответчика от обязанности по их оплате. Согласно </w:t>
      </w:r>
      <w:hyperlink r:id="rId17" w:history="1">
        <w:r w:rsidRPr="00EF4076">
          <w:rPr>
            <w:rFonts w:ascii="inherit" w:eastAsia="Times New Roman" w:hAnsi="inherit" w:cs="Times New Roman"/>
            <w:color w:val="00BCD4"/>
            <w:sz w:val="27"/>
            <w:szCs w:val="27"/>
            <w:bdr w:val="none" w:sz="0" w:space="0" w:color="auto" w:frame="1"/>
            <w:lang/>
          </w:rPr>
          <w:t>п. 5 ст. 166</w:t>
        </w:r>
      </w:hyperlink>
      <w:r w:rsidRPr="00EF4076">
        <w:rPr>
          <w:rFonts w:ascii="inherit" w:eastAsia="Times New Roman" w:hAnsi="inherit" w:cs="Times New Roman"/>
          <w:color w:val="3E4040"/>
          <w:sz w:val="27"/>
          <w:szCs w:val="27"/>
          <w:lang/>
        </w:rPr>
        <w:t> ЖК решение общего собрания (собрания уполномоченных) членов организации собственников, принятое в установленном порядке, является обязательным для всех членов организации собственников. Соответственно, данное решение является самостоятельным юридическим фактом, законная сила которого не связана с соблюдением каких-либо дополнительных формальностей. При этом обязанность по уплате взноса возникает не с момента внесения изменений в устав, а с момента принятия решения общего собрания.</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В качестве дополнения отметим, что ЖК (в ред. от 13.11.2017) предусматривал обязательность указания в уставе размеров, состава и порядка внесения взносов (</w:t>
      </w:r>
      <w:hyperlink r:id="rId18" w:history="1">
        <w:r w:rsidRPr="00EF4076">
          <w:rPr>
            <w:rFonts w:ascii="inherit" w:eastAsia="Times New Roman" w:hAnsi="inherit" w:cs="Times New Roman"/>
            <w:color w:val="00BCD4"/>
            <w:sz w:val="27"/>
            <w:szCs w:val="27"/>
            <w:bdr w:val="none" w:sz="0" w:space="0" w:color="auto" w:frame="1"/>
            <w:lang/>
          </w:rPr>
          <w:t>абз. 7 п. 3 ст. 209</w:t>
        </w:r>
      </w:hyperlink>
      <w:r w:rsidRPr="00EF4076">
        <w:rPr>
          <w:rFonts w:ascii="inherit" w:eastAsia="Times New Roman" w:hAnsi="inherit" w:cs="Times New Roman"/>
          <w:color w:val="3E4040"/>
          <w:sz w:val="27"/>
          <w:szCs w:val="27"/>
          <w:lang/>
        </w:rPr>
        <w:t>), а ЖК в действующей редакции — только состава и порядка их внесения (</w:t>
      </w:r>
      <w:hyperlink r:id="rId19" w:history="1">
        <w:r w:rsidRPr="00EF4076">
          <w:rPr>
            <w:rFonts w:ascii="inherit" w:eastAsia="Times New Roman" w:hAnsi="inherit" w:cs="Times New Roman"/>
            <w:color w:val="00BCD4"/>
            <w:sz w:val="27"/>
            <w:szCs w:val="27"/>
            <w:bdr w:val="none" w:sz="0" w:space="0" w:color="auto" w:frame="1"/>
            <w:lang/>
          </w:rPr>
          <w:t>абз. 7 п. 2 ст. 164</w:t>
        </w:r>
      </w:hyperlink>
      <w:r w:rsidRPr="00EF4076">
        <w:rPr>
          <w:rFonts w:ascii="inherit" w:eastAsia="Times New Roman" w:hAnsi="inherit" w:cs="Times New Roman"/>
          <w:color w:val="3E4040"/>
          <w:sz w:val="27"/>
          <w:szCs w:val="27"/>
          <w:lang/>
        </w:rPr>
        <w:t>). Таким образом, в настоящее время размер членских взносов не подлежит обязательному указанию в уставе ТС.</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lastRenderedPageBreak/>
        <w:t>В приведенных выше случаях были описаны часто встречающиеся доводы в рамках возражений против иска. Вместе с тем в качестве средства защиты ответчики нередко прибегают к подаче встречного искового заявления о признании недействительным решения общего собрания (собрания уполномоченных) об установлении членского взноса. Не имея возможности оспорить сам факт введения взноса и его размер, поскольку данный вопрос относится к исключительной компетенции указанных органов управления, должники основывают свою позицию на процедурных нарушениях при принятии решений. Как следствие, спор о взыскании членских взносов фактически трансформируется в скрупулезный анализ порядка созыва и проведения общего собрания (собрания уполномоченных).</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Пример 3</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ТС обратилось в суд с иском о взыскании с 12 соответчиков задолженности по членским взносам, размер и сроки уплаты которых были установлены решением общего собрания, проведенного путем письменного опроса.</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Соответчиками был предъявлен встречный иск о признании недействительным решения общего собрания ввиду его проведения с многочисленными процессуальными нарушениями, а именно:</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 нарушение порядка созыва общего собрания;</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 неправомочность общего собрания ввиду отсутствия кворума;</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 нарушение порядка направления членам ТС бюллетеней для голосования;</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 наличие противоречий в содержании повестки дня общего собрания и бюллетеней для голосования;</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 нарушение порядка подсчета голосов и т.д.</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Суд удовлетворил встречный иск исходя из следующего:</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lastRenderedPageBreak/>
        <w:t>1) нарушение процедуры инициирования общего собрания (правлением ТС не было принято решение о его созыве, что противоречит </w:t>
      </w:r>
      <w:hyperlink r:id="rId20" w:history="1">
        <w:r w:rsidRPr="00EF4076">
          <w:rPr>
            <w:rFonts w:ascii="inherit" w:eastAsia="Times New Roman" w:hAnsi="inherit" w:cs="Times New Roman"/>
            <w:color w:val="00BCD4"/>
            <w:sz w:val="27"/>
            <w:szCs w:val="27"/>
            <w:bdr w:val="none" w:sz="0" w:space="0" w:color="auto" w:frame="1"/>
            <w:lang/>
          </w:rPr>
          <w:t>п. 6 ст. 166</w:t>
        </w:r>
      </w:hyperlink>
      <w:r w:rsidRPr="00EF4076">
        <w:rPr>
          <w:rFonts w:ascii="inherit" w:eastAsia="Times New Roman" w:hAnsi="inherit" w:cs="Times New Roman"/>
          <w:color w:val="3E4040"/>
          <w:sz w:val="27"/>
          <w:szCs w:val="27"/>
          <w:lang/>
        </w:rPr>
        <w:t> ЖК);</w:t>
      </w:r>
    </w:p>
    <w:p w:rsidR="00EF4076" w:rsidRPr="00EF4076" w:rsidRDefault="00EF4076" w:rsidP="00EF4076">
      <w:pPr>
        <w:spacing w:after="0"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2) нарушение порядка принятия решений (вопреки требованиям </w:t>
      </w:r>
      <w:hyperlink r:id="rId21" w:history="1">
        <w:r w:rsidRPr="00EF4076">
          <w:rPr>
            <w:rFonts w:ascii="inherit" w:eastAsia="Times New Roman" w:hAnsi="inherit" w:cs="Times New Roman"/>
            <w:color w:val="00BCD4"/>
            <w:sz w:val="27"/>
            <w:szCs w:val="27"/>
            <w:bdr w:val="none" w:sz="0" w:space="0" w:color="auto" w:frame="1"/>
            <w:lang/>
          </w:rPr>
          <w:t>п. 2 ст. 166</w:t>
        </w:r>
      </w:hyperlink>
      <w:r w:rsidRPr="00EF4076">
        <w:rPr>
          <w:rFonts w:ascii="inherit" w:eastAsia="Times New Roman" w:hAnsi="inherit" w:cs="Times New Roman"/>
          <w:color w:val="3E4040"/>
          <w:sz w:val="27"/>
          <w:szCs w:val="27"/>
          <w:lang/>
        </w:rPr>
        <w:t> ЖК подсчет результатов проводился исходя из количества участников собрания, а не количества принадлежащих им голосов).</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С учетом удовлетворения встречного иска о признании недействительным решения общего собрания, на котором были установлены размер и срок уплаты членских взносов, суд отказал в удовлетворении первоначального иска о взыскании указанных взносов.</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Таким образом, вследствие признания недействительным решения общего собрания ТС лишилось правовых оснований для взимания членских взносов за несколько календарных лет, что представляет собой реальную угрозу финансового благополучия ТС. Судебное постановление повлекло и иные негативные последствия для ТС: ввиду удовлетворения встречного иска решение общего собрания было признано недействительным не только в части установления членского взноса, а в полном объеме (включая актуальные вопросы содержания и эксплуатации общего имущества, внесения изменений и дополнений в устав и пр.).</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Выводы:</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1) при установлении членских взносов необходимо уделить пристальное внимание надлежащему соблюдению норм законодательства в части созыва, проведения общего собрания (собрания уполномоченных) и оформления его результатов;</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t>2) невыполнение указанных норм нередко влечет риск удовлетворения исков должников о признании недействительным решения общего собрания (собрания уполномоченных), что чревато утратой законных оснований для взыскания членских взносов;</w:t>
      </w:r>
    </w:p>
    <w:p w:rsidR="00EF4076" w:rsidRPr="00EF4076" w:rsidRDefault="00EF4076" w:rsidP="00EF4076">
      <w:pPr>
        <w:spacing w:after="225" w:line="480" w:lineRule="atLeast"/>
        <w:textAlignment w:val="baseline"/>
        <w:rPr>
          <w:rFonts w:ascii="inherit" w:eastAsia="Times New Roman" w:hAnsi="inherit" w:cs="Times New Roman"/>
          <w:color w:val="3E4040"/>
          <w:sz w:val="27"/>
          <w:szCs w:val="27"/>
          <w:lang/>
        </w:rPr>
      </w:pPr>
      <w:r w:rsidRPr="00EF4076">
        <w:rPr>
          <w:rFonts w:ascii="inherit" w:eastAsia="Times New Roman" w:hAnsi="inherit" w:cs="Times New Roman"/>
          <w:color w:val="3E4040"/>
          <w:sz w:val="27"/>
          <w:szCs w:val="27"/>
          <w:lang/>
        </w:rPr>
        <w:lastRenderedPageBreak/>
        <w:t>3) отсутствие в уставе ТС сведений о размере, составе и сроках внесения членских взносов не влияет на установленную общим собранием (собранием уполномоченных) обязанность по их своевременной уплате.</w:t>
      </w:r>
    </w:p>
    <w:p w:rsidR="004162CC" w:rsidRDefault="004162CC">
      <w:bookmarkStart w:id="0" w:name="_GoBack"/>
      <w:bookmarkEnd w:id="0"/>
    </w:p>
    <w:sectPr w:rsidR="00416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70CD1"/>
    <w:multiLevelType w:val="multilevel"/>
    <w:tmpl w:val="A140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621"/>
    <w:rsid w:val="004162CC"/>
    <w:rsid w:val="00746621"/>
    <w:rsid w:val="00EF40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4076"/>
    <w:rPr>
      <w:color w:val="0000FF"/>
      <w:u w:val="single"/>
    </w:rPr>
  </w:style>
  <w:style w:type="paragraph" w:styleId="a4">
    <w:name w:val="Normal (Web)"/>
    <w:basedOn w:val="a"/>
    <w:uiPriority w:val="99"/>
    <w:semiHidden/>
    <w:unhideWhenUsed/>
    <w:rsid w:val="00EF4076"/>
    <w:pPr>
      <w:spacing w:before="100" w:beforeAutospacing="1" w:after="100" w:afterAutospacing="1" w:line="240" w:lineRule="auto"/>
    </w:pPr>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4076"/>
    <w:rPr>
      <w:color w:val="0000FF"/>
      <w:u w:val="single"/>
    </w:rPr>
  </w:style>
  <w:style w:type="paragraph" w:styleId="a4">
    <w:name w:val="Normal (Web)"/>
    <w:basedOn w:val="a"/>
    <w:uiPriority w:val="99"/>
    <w:semiHidden/>
    <w:unhideWhenUsed/>
    <w:rsid w:val="00EF407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37013">
      <w:bodyDiv w:val="1"/>
      <w:marLeft w:val="0"/>
      <w:marRight w:val="0"/>
      <w:marTop w:val="0"/>
      <w:marBottom w:val="0"/>
      <w:divBdr>
        <w:top w:val="none" w:sz="0" w:space="0" w:color="auto"/>
        <w:left w:val="none" w:sz="0" w:space="0" w:color="auto"/>
        <w:bottom w:val="none" w:sz="0" w:space="0" w:color="auto"/>
        <w:right w:val="none" w:sz="0" w:space="0" w:color="auto"/>
      </w:divBdr>
      <w:divsChild>
        <w:div w:id="1309284593">
          <w:marLeft w:val="0"/>
          <w:marRight w:val="0"/>
          <w:marTop w:val="0"/>
          <w:marBottom w:val="0"/>
          <w:divBdr>
            <w:top w:val="none" w:sz="0" w:space="0" w:color="auto"/>
            <w:left w:val="none" w:sz="0" w:space="0" w:color="auto"/>
            <w:bottom w:val="none" w:sz="0" w:space="0" w:color="auto"/>
            <w:right w:val="none" w:sz="0" w:space="0" w:color="auto"/>
          </w:divBdr>
          <w:divsChild>
            <w:div w:id="569850569">
              <w:marLeft w:val="0"/>
              <w:marRight w:val="0"/>
              <w:marTop w:val="0"/>
              <w:marBottom w:val="0"/>
              <w:divBdr>
                <w:top w:val="none" w:sz="0" w:space="0" w:color="auto"/>
                <w:left w:val="none" w:sz="0" w:space="0" w:color="auto"/>
                <w:bottom w:val="none" w:sz="0" w:space="0" w:color="auto"/>
                <w:right w:val="none" w:sz="0" w:space="0" w:color="auto"/>
              </w:divBdr>
              <w:divsChild>
                <w:div w:id="12130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529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ex.by/sudebnaya-praktika-po-delam-o-vzyskanii-chlenskih-vznosov/" TargetMode="External"/><Relationship Id="rId13" Type="http://schemas.openxmlformats.org/officeDocument/2006/relationships/hyperlink" Target="https://ilex.by/sudebnaya-praktika-po-delam-o-vzyskanii-chlenskih-vznosov/" TargetMode="External"/><Relationship Id="rId18" Type="http://schemas.openxmlformats.org/officeDocument/2006/relationships/hyperlink" Target="https://ilex.by/sudebnaya-praktika-po-delam-o-vzyskanii-chlenskih-vznosov/" TargetMode="External"/><Relationship Id="rId3" Type="http://schemas.microsoft.com/office/2007/relationships/stylesWithEffects" Target="stylesWithEffects.xml"/><Relationship Id="rId21" Type="http://schemas.openxmlformats.org/officeDocument/2006/relationships/hyperlink" Target="https://ilex.by/sudebnaya-praktika-po-delam-o-vzyskanii-chlenskih-vznosov/" TargetMode="External"/><Relationship Id="rId7" Type="http://schemas.openxmlformats.org/officeDocument/2006/relationships/hyperlink" Target="https://ilex.by/sudebnaya-praktika-po-delam-o-vzyskanii-chlenskih-vznosov/" TargetMode="External"/><Relationship Id="rId12" Type="http://schemas.openxmlformats.org/officeDocument/2006/relationships/hyperlink" Target="https://ilex.by/sudebnaya-praktika-po-delam-o-vzyskanii-chlenskih-vznosov/" TargetMode="External"/><Relationship Id="rId17" Type="http://schemas.openxmlformats.org/officeDocument/2006/relationships/hyperlink" Target="https://ilex.by/sudebnaya-praktika-po-delam-o-vzyskanii-chlenskih-vznosov/" TargetMode="External"/><Relationship Id="rId2" Type="http://schemas.openxmlformats.org/officeDocument/2006/relationships/styles" Target="styles.xml"/><Relationship Id="rId16" Type="http://schemas.openxmlformats.org/officeDocument/2006/relationships/hyperlink" Target="https://ilex.by/sudebnaya-praktika-po-delam-o-vzyskanii-chlenskih-vznosov/" TargetMode="External"/><Relationship Id="rId20" Type="http://schemas.openxmlformats.org/officeDocument/2006/relationships/hyperlink" Target="https://ilex.by/sudebnaya-praktika-po-delam-o-vzyskanii-chlenskih-vznosov/" TargetMode="External"/><Relationship Id="rId1" Type="http://schemas.openxmlformats.org/officeDocument/2006/relationships/numbering" Target="numbering.xml"/><Relationship Id="rId6" Type="http://schemas.openxmlformats.org/officeDocument/2006/relationships/hyperlink" Target="https://connect.ok.ru/offer?url=https%3A%2F%2Filex.by%2Fsudebnaya-praktika-po-delam-o-vzyskanii-chlenskih-vznosov%2F&amp;utm_source=share2" TargetMode="External"/><Relationship Id="rId11" Type="http://schemas.openxmlformats.org/officeDocument/2006/relationships/hyperlink" Target="https://ilex.by/sudebnaya-praktika-po-delam-o-vzyskanii-chlenskih-vznosov/" TargetMode="External"/><Relationship Id="rId5" Type="http://schemas.openxmlformats.org/officeDocument/2006/relationships/webSettings" Target="webSettings.xml"/><Relationship Id="rId15" Type="http://schemas.openxmlformats.org/officeDocument/2006/relationships/hyperlink" Target="https://ilex.by/sudebnaya-praktika-po-delam-o-vzyskanii-chlenskih-vznosov/" TargetMode="External"/><Relationship Id="rId23" Type="http://schemas.openxmlformats.org/officeDocument/2006/relationships/theme" Target="theme/theme1.xml"/><Relationship Id="rId10" Type="http://schemas.openxmlformats.org/officeDocument/2006/relationships/hyperlink" Target="https://ilex.by/sudebnaya-praktika-po-delam-o-vzyskanii-chlenskih-vznosov/" TargetMode="External"/><Relationship Id="rId19" Type="http://schemas.openxmlformats.org/officeDocument/2006/relationships/hyperlink" Target="https://ilex.by/sudebnaya-praktika-po-delam-o-vzyskanii-chlenskih-vznosov/" TargetMode="External"/><Relationship Id="rId4" Type="http://schemas.openxmlformats.org/officeDocument/2006/relationships/settings" Target="settings.xml"/><Relationship Id="rId9" Type="http://schemas.openxmlformats.org/officeDocument/2006/relationships/hyperlink" Target="https://ilex.by/sudebnaya-praktika-po-delam-o-vzyskanii-chlenskih-vznosov/" TargetMode="External"/><Relationship Id="rId14" Type="http://schemas.openxmlformats.org/officeDocument/2006/relationships/hyperlink" Target="https://ilex.by/sudebnaya-praktika-po-delam-o-vzyskanii-chlenskih-vznosov/"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1750</Words>
  <Characters>9976</Characters>
  <Application>Microsoft Office Word</Application>
  <DocSecurity>0</DocSecurity>
  <Lines>83</Lines>
  <Paragraphs>23</Paragraphs>
  <ScaleCrop>false</ScaleCrop>
  <Company>diakov.net</Company>
  <LinksUpToDate>false</LinksUpToDate>
  <CharactersWithSpaces>11703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2024-02-29T07:25:00Z</dcterms:created>
  <dcterms:modified xsi:type="dcterms:W3CDTF">2024-02-29T07:25:00Z</dcterms:modified>
</cp:coreProperties>
</file>