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968541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429AC2" w14:textId="43573855" w:rsidR="00D672F3" w:rsidRDefault="00D672F3" w:rsidP="00D672F3">
          <w:pPr>
            <w:pStyle w:val="a6"/>
            <w:spacing w:before="0" w:line="360" w:lineRule="auto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D672F3">
            <w:rPr>
              <w:rFonts w:ascii="Times New Roman" w:hAnsi="Times New Roman" w:cs="Times New Roman"/>
              <w:color w:val="auto"/>
              <w:sz w:val="28"/>
              <w:szCs w:val="28"/>
            </w:rPr>
            <w:t>СОДЕРЖАНИЕ</w:t>
          </w:r>
        </w:p>
        <w:p w14:paraId="0418F671" w14:textId="77777777" w:rsidR="00D672F3" w:rsidRPr="00D672F3" w:rsidRDefault="00D672F3" w:rsidP="00D672F3">
          <w:pPr>
            <w:rPr>
              <w:lang w:eastAsia="ru-RU"/>
            </w:rPr>
          </w:pPr>
        </w:p>
        <w:p w14:paraId="3E2F29D1" w14:textId="4E37C69D" w:rsidR="00D672F3" w:rsidRPr="00D672F3" w:rsidRDefault="00D672F3" w:rsidP="00D672F3">
          <w:pPr>
            <w:pStyle w:val="22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D672F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672F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672F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2636437" w:history="1">
            <w:r w:rsidRPr="00D672F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ВВЕДЕНИЕ</w:t>
            </w:r>
            <w:r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_Toc42636437 \h </w:instrText>
            </w:r>
            <w:r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63FD0F" w14:textId="34B2B66B" w:rsidR="00D672F3" w:rsidRPr="00D672F3" w:rsidRDefault="003601BA" w:rsidP="00D672F3">
          <w:pPr>
            <w:pStyle w:val="22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636438" w:history="1">
            <w:r w:rsidR="00D672F3" w:rsidRPr="00D672F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 Понятие инвестиционного портфеля</w: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_Toc42636438 \h </w:instrTex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F002E3" w14:textId="51957986" w:rsidR="00D672F3" w:rsidRPr="00D672F3" w:rsidRDefault="003601BA" w:rsidP="00D672F3">
          <w:pPr>
            <w:pStyle w:val="22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636439" w:history="1">
            <w:r w:rsidR="00D672F3" w:rsidRPr="00D672F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 Классификация инвестиционных портфелей</w: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_Toc42636439 \h </w:instrTex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ABA185" w14:textId="7ABD2979" w:rsidR="00D672F3" w:rsidRPr="00D672F3" w:rsidRDefault="003601BA" w:rsidP="00D672F3">
          <w:pPr>
            <w:pStyle w:val="22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636440" w:history="1">
            <w:r w:rsidR="00D672F3" w:rsidRPr="00D672F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 Доходность и риск инвестиционного портфеля</w: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_Toc42636440 \h </w:instrTex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604A1A" w14:textId="368A4A64" w:rsidR="00D672F3" w:rsidRPr="00D672F3" w:rsidRDefault="003601BA" w:rsidP="00D672F3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636441" w:history="1">
            <w:r w:rsidR="00D672F3" w:rsidRPr="00D672F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ЗАКЛЮЧЕНИЕ</w: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_Toc42636441 \h </w:instrTex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0798AC" w14:textId="420B8589" w:rsidR="00D672F3" w:rsidRPr="00D672F3" w:rsidRDefault="003601BA" w:rsidP="00D672F3">
          <w:pPr>
            <w:pStyle w:val="22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2636442" w:history="1">
            <w:r w:rsidR="00D672F3" w:rsidRPr="00D672F3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СПИСОК ИСПОЛЬЗОВАННЫХ ИСТОЧНИКОВ</w: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_Toc42636442 \h </w:instrTex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D672F3" w:rsidRPr="00D672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37E044" w14:textId="4F0EC078" w:rsidR="00D672F3" w:rsidRDefault="00D672F3" w:rsidP="00D672F3">
          <w:pPr>
            <w:spacing w:after="0" w:line="360" w:lineRule="auto"/>
            <w:jc w:val="both"/>
          </w:pPr>
          <w:r w:rsidRPr="00D672F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462E860" w14:textId="0A27EC6B" w:rsidR="003D7C6E" w:rsidRDefault="003D7C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2F88396" w14:textId="473A37F7" w:rsidR="007809A0" w:rsidRPr="003D7C6E" w:rsidRDefault="003D7C6E" w:rsidP="003D7C6E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42636437"/>
      <w:r w:rsidRPr="003D7C6E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  <w:bookmarkEnd w:id="0"/>
    </w:p>
    <w:p w14:paraId="1F81E95B" w14:textId="55E20DBE" w:rsidR="003D7C6E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964D0C" w14:textId="35AE3888" w:rsidR="003D7C6E" w:rsidRPr="003D7C6E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C6E">
        <w:rPr>
          <w:rFonts w:ascii="Times New Roman" w:hAnsi="Times New Roman" w:cs="Times New Roman"/>
          <w:sz w:val="28"/>
          <w:szCs w:val="28"/>
        </w:rPr>
        <w:t xml:space="preserve">Риск и доходность в инвестировании на рынке ценных бумаг </w:t>
      </w:r>
      <w:r w:rsidR="00F946CE">
        <w:rPr>
          <w:rFonts w:ascii="Times New Roman" w:hAnsi="Times New Roman" w:cs="Times New Roman"/>
          <w:sz w:val="28"/>
          <w:szCs w:val="28"/>
        </w:rPr>
        <w:t>–</w:t>
      </w:r>
      <w:r w:rsidRPr="003D7C6E">
        <w:rPr>
          <w:rFonts w:ascii="Times New Roman" w:hAnsi="Times New Roman" w:cs="Times New Roman"/>
          <w:sz w:val="28"/>
          <w:szCs w:val="28"/>
        </w:rPr>
        <w:t xml:space="preserve"> понятия, имеющие тесную связь. Традиционно принято считать: чем выше потенциальная доходность актива, тем выше риск. Чем ниже доходность, тем ниже риск. </w:t>
      </w:r>
    </w:p>
    <w:p w14:paraId="14167AC9" w14:textId="3A021611" w:rsidR="003D7C6E" w:rsidRPr="003D7C6E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C6E">
        <w:rPr>
          <w:rFonts w:ascii="Times New Roman" w:hAnsi="Times New Roman" w:cs="Times New Roman"/>
          <w:sz w:val="28"/>
          <w:szCs w:val="28"/>
        </w:rPr>
        <w:t xml:space="preserve">Доходность </w:t>
      </w:r>
      <w:r w:rsidR="00F946CE">
        <w:rPr>
          <w:rFonts w:ascii="Times New Roman" w:hAnsi="Times New Roman" w:cs="Times New Roman"/>
          <w:sz w:val="28"/>
          <w:szCs w:val="28"/>
        </w:rPr>
        <w:t>–</w:t>
      </w:r>
      <w:r w:rsidRPr="003D7C6E">
        <w:rPr>
          <w:rFonts w:ascii="Times New Roman" w:hAnsi="Times New Roman" w:cs="Times New Roman"/>
          <w:sz w:val="28"/>
          <w:szCs w:val="28"/>
        </w:rPr>
        <w:t xml:space="preserve"> уровень прибыли, которую инвестор получит от вложенного капитала в соотношении с размером самого капитала. Этот показатель обычно считается в процентах, причем для </w:t>
      </w:r>
      <w:proofErr w:type="spellStart"/>
      <w:r w:rsidRPr="003D7C6E">
        <w:rPr>
          <w:rFonts w:ascii="Times New Roman" w:hAnsi="Times New Roman" w:cs="Times New Roman"/>
          <w:sz w:val="28"/>
          <w:szCs w:val="28"/>
        </w:rPr>
        <w:t>низкорисковых</w:t>
      </w:r>
      <w:proofErr w:type="spellEnd"/>
      <w:r w:rsidRPr="003D7C6E">
        <w:rPr>
          <w:rFonts w:ascii="Times New Roman" w:hAnsi="Times New Roman" w:cs="Times New Roman"/>
          <w:sz w:val="28"/>
          <w:szCs w:val="28"/>
        </w:rPr>
        <w:t xml:space="preserve"> инвестиций в годовых, а </w:t>
      </w:r>
      <w:proofErr w:type="spellStart"/>
      <w:r w:rsidRPr="003D7C6E">
        <w:rPr>
          <w:rFonts w:ascii="Times New Roman" w:hAnsi="Times New Roman" w:cs="Times New Roman"/>
          <w:sz w:val="28"/>
          <w:szCs w:val="28"/>
        </w:rPr>
        <w:t>высокорисковых</w:t>
      </w:r>
      <w:proofErr w:type="spellEnd"/>
      <w:r w:rsidRPr="003D7C6E">
        <w:rPr>
          <w:rFonts w:ascii="Times New Roman" w:hAnsi="Times New Roman" w:cs="Times New Roman"/>
          <w:sz w:val="28"/>
          <w:szCs w:val="28"/>
        </w:rPr>
        <w:t xml:space="preserve"> – в процентах за месяц. </w:t>
      </w:r>
    </w:p>
    <w:p w14:paraId="3D71380D" w14:textId="77777777" w:rsidR="003D7C6E" w:rsidRPr="003D7C6E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C6E">
        <w:rPr>
          <w:rFonts w:ascii="Times New Roman" w:hAnsi="Times New Roman" w:cs="Times New Roman"/>
          <w:sz w:val="28"/>
          <w:szCs w:val="28"/>
        </w:rPr>
        <w:t xml:space="preserve">Риск и доходность – то, что должен оценивать каждый человек, когда принимает решение вложить во что-либо деньги. Это в равной степени касается как покупки биржевых активов, так и открытия вклада в банке.  Риск и доходность каждого актива и их соотношение между собой определяет в сумме вид инвестиционного портфеля. Источник дохода по активам разделяет финансовый инструмент на портфели роста и портфель дохода. </w:t>
      </w:r>
    </w:p>
    <w:p w14:paraId="3B802C0E" w14:textId="77777777" w:rsidR="003D7C6E" w:rsidRPr="003D7C6E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C6E">
        <w:rPr>
          <w:rFonts w:ascii="Times New Roman" w:hAnsi="Times New Roman" w:cs="Times New Roman"/>
          <w:sz w:val="28"/>
          <w:szCs w:val="28"/>
        </w:rPr>
        <w:t>Портфель, оптимальный с точки зрения конкретного инвестора, зависит от его отношения к риску, проявляющегося в выборе параметров функции, описывающей взаимосвязь между риском и доходностью. Эта функция называется кривой безразличия. Она объединяет множество точек, которые представляют собой равнозначные (с одним уровнем полезности) с точки зрения инвестора комбинации риска и доходности.</w:t>
      </w:r>
    </w:p>
    <w:p w14:paraId="3F26ED0D" w14:textId="4CC93EF8" w:rsidR="003D7C6E" w:rsidRPr="003D7C6E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C6E">
        <w:rPr>
          <w:rFonts w:ascii="Times New Roman" w:hAnsi="Times New Roman" w:cs="Times New Roman"/>
          <w:i/>
          <w:iCs/>
          <w:sz w:val="28"/>
          <w:szCs w:val="28"/>
        </w:rPr>
        <w:t>Целью данной работы</w:t>
      </w:r>
      <w:r w:rsidRPr="003D7C6E">
        <w:rPr>
          <w:rFonts w:ascii="Times New Roman" w:hAnsi="Times New Roman" w:cs="Times New Roman"/>
          <w:sz w:val="28"/>
          <w:szCs w:val="28"/>
        </w:rPr>
        <w:t xml:space="preserve"> является рассмотрение риска и доходности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D7C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60EF00" w14:textId="77777777" w:rsidR="003D7C6E" w:rsidRPr="003D7C6E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C6E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были поставлены следующие </w:t>
      </w:r>
      <w:r w:rsidRPr="003D7C6E">
        <w:rPr>
          <w:rFonts w:ascii="Times New Roman" w:hAnsi="Times New Roman" w:cs="Times New Roman"/>
          <w:i/>
          <w:iCs/>
          <w:sz w:val="28"/>
          <w:szCs w:val="28"/>
        </w:rPr>
        <w:t>задачи</w:t>
      </w:r>
      <w:r w:rsidRPr="003D7C6E">
        <w:rPr>
          <w:rFonts w:ascii="Times New Roman" w:hAnsi="Times New Roman" w:cs="Times New Roman"/>
          <w:sz w:val="28"/>
          <w:szCs w:val="28"/>
        </w:rPr>
        <w:t>:</w:t>
      </w:r>
    </w:p>
    <w:p w14:paraId="48BDC6B0" w14:textId="7117A9E1" w:rsidR="003D7C6E" w:rsidRPr="003D7C6E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D7C6E">
        <w:rPr>
          <w:rFonts w:ascii="Times New Roman" w:hAnsi="Times New Roman" w:cs="Times New Roman"/>
          <w:sz w:val="28"/>
          <w:szCs w:val="28"/>
        </w:rPr>
        <w:t>изучить понятие инвестиционного портфеля;</w:t>
      </w:r>
    </w:p>
    <w:p w14:paraId="337C3929" w14:textId="1B6897E0" w:rsidR="003D7C6E" w:rsidRPr="003D7C6E" w:rsidRDefault="003D7C6E" w:rsidP="003D7C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D7C6E">
        <w:rPr>
          <w:rFonts w:ascii="Times New Roman" w:hAnsi="Times New Roman" w:cs="Times New Roman"/>
          <w:sz w:val="28"/>
          <w:szCs w:val="28"/>
        </w:rPr>
        <w:t>исследовать классификацию инвестиционных портфелей;</w:t>
      </w:r>
    </w:p>
    <w:p w14:paraId="3FA9B0F6" w14:textId="3DC26A39" w:rsidR="003D7C6E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D7C6E">
        <w:rPr>
          <w:rFonts w:ascii="Times New Roman" w:hAnsi="Times New Roman" w:cs="Times New Roman"/>
          <w:sz w:val="28"/>
          <w:szCs w:val="28"/>
        </w:rPr>
        <w:t>проанализировать доходность и риск инвестиционного портфеля.</w:t>
      </w:r>
    </w:p>
    <w:p w14:paraId="6671D3E3" w14:textId="77777777" w:rsidR="003D7C6E" w:rsidRDefault="003D7C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69A0518" w14:textId="60586F1C" w:rsidR="003D7C6E" w:rsidRPr="003D7C6E" w:rsidRDefault="003D7C6E" w:rsidP="003D7C6E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42636438"/>
      <w:r w:rsidRPr="003D7C6E">
        <w:rPr>
          <w:rFonts w:ascii="Times New Roman" w:hAnsi="Times New Roman" w:cs="Times New Roman"/>
          <w:color w:val="auto"/>
          <w:sz w:val="28"/>
          <w:szCs w:val="28"/>
        </w:rPr>
        <w:lastRenderedPageBreak/>
        <w:t>1. Понятие инвестиционного портфеля</w:t>
      </w:r>
      <w:bookmarkEnd w:id="1"/>
    </w:p>
    <w:p w14:paraId="3BAB66BB" w14:textId="3990DA71" w:rsidR="003D7C6E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F75B27" w14:textId="77777777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Портфель ценных бумаг предприятия представляет собой набор инвестиционных фондовых активов.</w:t>
      </w:r>
    </w:p>
    <w:p w14:paraId="5F70C042" w14:textId="6F04E5D8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Портфельные инвестиции – это инвестиции, объектом которых являются ценные бумаги. Поскольку ценные бумаги неоднородны и имеют разную ликвидность, доходность и уровень риска, то предприятия осуществляют инвестиции, как правило, в различные сегменты рынка ценных бумаг. Совокупность инвестиций предприятий в ценные бумаги образует портфель ценных бумаг.</w:t>
      </w:r>
    </w:p>
    <w:p w14:paraId="038C7CB2" w14:textId="68874CAB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Инвестиционный портфель – это целенаправленно сформированная совокупность объектов реального и финансового инвестирования, предназначенных для осуществления инвестиционной деятельности в соответствии с разработанной инвестиционной стратегией предприятия. Обеспечение реализации разработанной инвестиционной политики путем подбора наиболее эффективных и надежных инвестиционных вложений является основная цель формирования инвестиционного портфеля. В процессе формирования портфеля комбинированием инвестиционных активов достигается новое инвестиционное качество: обеспечивается требуемый уровень дохода при заданном уровне риска. В зависимости от направленности избранной инвестиционной политики и особенностей осуществления инвестиционной деятельности определяется система специфических целей. При формировании любого инвестиционного портфеля инвестор ставит определенные цели</w:t>
      </w:r>
      <w:r w:rsidR="00E90406" w:rsidRPr="001D11C8">
        <w:rPr>
          <w:rFonts w:ascii="Times New Roman" w:hAnsi="Times New Roman" w:cs="Times New Roman"/>
          <w:sz w:val="28"/>
          <w:szCs w:val="28"/>
        </w:rPr>
        <w:t xml:space="preserve"> [4]</w:t>
      </w:r>
      <w:r w:rsidRPr="001D11C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F986E8A" w14:textId="745D0111" w:rsidR="003D7C6E" w:rsidRPr="001D11C8" w:rsidRDefault="008229EC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– </w:t>
      </w:r>
      <w:r w:rsidR="003D7C6E" w:rsidRPr="001D11C8">
        <w:rPr>
          <w:rFonts w:ascii="Times New Roman" w:hAnsi="Times New Roman" w:cs="Times New Roman"/>
          <w:sz w:val="28"/>
          <w:szCs w:val="28"/>
        </w:rPr>
        <w:t>прирост капитала;</w:t>
      </w:r>
    </w:p>
    <w:p w14:paraId="55D56E9C" w14:textId="3D0B6DDD" w:rsidR="003D7C6E" w:rsidRPr="001D11C8" w:rsidRDefault="008229EC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– </w:t>
      </w:r>
      <w:r w:rsidR="003D7C6E" w:rsidRPr="001D11C8">
        <w:rPr>
          <w:rFonts w:ascii="Times New Roman" w:hAnsi="Times New Roman" w:cs="Times New Roman"/>
          <w:sz w:val="28"/>
          <w:szCs w:val="28"/>
        </w:rPr>
        <w:t>ликвидность инвестированных средств на приемлемом для инвестора уровне;</w:t>
      </w:r>
    </w:p>
    <w:p w14:paraId="780145A3" w14:textId="5CF57A09" w:rsidR="003D7C6E" w:rsidRPr="001D11C8" w:rsidRDefault="008229EC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– </w:t>
      </w:r>
      <w:r w:rsidR="003D7C6E" w:rsidRPr="001D11C8">
        <w:rPr>
          <w:rFonts w:ascii="Times New Roman" w:hAnsi="Times New Roman" w:cs="Times New Roman"/>
          <w:sz w:val="28"/>
          <w:szCs w:val="28"/>
        </w:rPr>
        <w:t>достижение необходимого уровня доходности;</w:t>
      </w:r>
    </w:p>
    <w:p w14:paraId="63D97ECA" w14:textId="19A4B126" w:rsidR="003D7C6E" w:rsidRPr="001D11C8" w:rsidRDefault="008229EC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– </w:t>
      </w:r>
      <w:r w:rsidR="003D7C6E" w:rsidRPr="001D11C8">
        <w:rPr>
          <w:rFonts w:ascii="Times New Roman" w:hAnsi="Times New Roman" w:cs="Times New Roman"/>
          <w:sz w:val="28"/>
          <w:szCs w:val="28"/>
        </w:rPr>
        <w:t>минимизация инвестиционных рисков.</w:t>
      </w:r>
    </w:p>
    <w:p w14:paraId="29E1FFE6" w14:textId="77777777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lastRenderedPageBreak/>
        <w:t>Учет приоритетных целей при формировании инвестиционного портфеля лежит в основе определения соответствующих нормативных показателей, служащих критерием при отборе вложений для инвестиционного портфеля и его оценке. В зависимости от принятых приоритетов инвестор может установить в качестве такого критерия предельные значения прироста капитальной стоимости, дохода, уровня допустимых инвестиционных рисков, ликвидности. В составе инвестиционного портфеля могут сочетаться объекты с различными инвестиционными качествами, что позволяет получить достаточный совокупный доход при консолидации риска по отдельным объектам вложений.</w:t>
      </w:r>
    </w:p>
    <w:p w14:paraId="5E22DF56" w14:textId="20F95705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Основной целью инвестиционной деятельности на предприятии, равно как и основной целью формирования инвестиционного портфеля, является обеспечение реализации его инвестиционной стратегии. Если инвестиционная стратегия предприятия направлена на расширение деятельности (увеличение объема производства и реализации продукции или оказываемых услуг), то основные инвестиции будут вложены в инвестиционные проекты или в активы, связанные с производством, а имеющиеся (планируемые) </w:t>
      </w:r>
      <w:r w:rsidR="008229EC" w:rsidRPr="001D11C8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в прочие объекты (в ценные бумаги или банковские вклады) и будут носить по отношению к ним подчиненный характер, что отразится, например, на сроках и объемах размещения</w:t>
      </w:r>
      <w:r w:rsidR="00F178AC" w:rsidRPr="001D11C8">
        <w:rPr>
          <w:rFonts w:ascii="Times New Roman" w:hAnsi="Times New Roman" w:cs="Times New Roman"/>
          <w:sz w:val="28"/>
          <w:szCs w:val="28"/>
        </w:rPr>
        <w:t xml:space="preserve"> [6]</w:t>
      </w:r>
      <w:r w:rsidRPr="001D11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DEDCB3" w14:textId="77777777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Как и в общем случае при осуществлении инвестиционной деятельности, так и при формировании инвестиционного портфеля инвестор ожидает прибыль (доход), действуя в рамках приемлемого для него риска. Доход же может иметь не только форму текущих выплат или прибыли от реализации инвестиционных проектов, получаемых с известной степенью регулярности и определенности (предсказуемости) в установленные промежутки времени, но и в виде прироста стоимости приобретаемых активов.</w:t>
      </w:r>
    </w:p>
    <w:p w14:paraId="52C5C5E6" w14:textId="77777777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Получение регулярного дохода в текущем периоде, как правило, с заранее установленной периодичностью предполагает достижение конкретного уровня доходности. Это могут быть выплаты процентов по </w:t>
      </w:r>
      <w:r w:rsidRPr="001D11C8">
        <w:rPr>
          <w:rFonts w:ascii="Times New Roman" w:hAnsi="Times New Roman" w:cs="Times New Roman"/>
          <w:sz w:val="28"/>
          <w:szCs w:val="28"/>
        </w:rPr>
        <w:lastRenderedPageBreak/>
        <w:t>банковским депозитным вкладам, планируемые доходы от эксплуатации объектов реального инвестирования (объектов недвижимости, нового оборудования), дивиденды и проценты соответственно по акциям и облигациям. Получение текущего дохода влияет на платежеспособность компании и принимается в расчет при планировании денежных потоков. Данная цель является основной при формировании портфеля, особенно в ситуации краткосрочного размещения средств.</w:t>
      </w:r>
    </w:p>
    <w:p w14:paraId="0845E099" w14:textId="4B945AD7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Прирост капитала обеспечивается при инвестировании средств в объекты, которые характеризуются увеличением их стоимости во времени. Это справедливо для акций молодых компаний-эмитентов, по мере расширения деятельности которых ожидается значительный рост цен их акций, а также для объектов недвижимости и др. Именно прирост стоимости и обеспечивает инвестору получение дохода. Такого рода инвестиции предполагают более длительный период размещения средств и, как правило, относятся к долгосрочным</w:t>
      </w:r>
      <w:r w:rsidR="00F178AC" w:rsidRPr="001D11C8">
        <w:rPr>
          <w:rFonts w:ascii="Times New Roman" w:hAnsi="Times New Roman" w:cs="Times New Roman"/>
          <w:sz w:val="28"/>
          <w:szCs w:val="28"/>
        </w:rPr>
        <w:t xml:space="preserve"> [5]</w:t>
      </w:r>
      <w:r w:rsidRPr="001D11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C61177" w14:textId="77777777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Минимизация инвестиционных рисков, или безопасность инвестиций, означает неуязвимость инвестиций от потрясений на рынке инвестиционного капитала и стабильность получения дохода. Подбор объектов, по которым наиболее вероятны возврат капитала и получение дохода планируемого уровня, и позволяет достичь указанной цели.</w:t>
      </w:r>
    </w:p>
    <w:p w14:paraId="7898F1CC" w14:textId="77777777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Однако минимизация рисков не всегда позволяет полностью устранить вероятность негативных последствий, а лишь способствует достижению их допустимого уровня при обеспечении требуемой инвестором доходности. Она зависит от отношения инвестора к риску.</w:t>
      </w:r>
    </w:p>
    <w:p w14:paraId="5C360904" w14:textId="2FDBA1C2" w:rsidR="003D7C6E" w:rsidRPr="001D11C8" w:rsidRDefault="003D7C6E" w:rsidP="003D7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Возможность быстрого и безубыточного (без существенных потерь в стоимости) обращения инвестиций в наличные деньги или возможность их быстрой реализации предполагает обеспечение достаточной ликвидности инвестируемых средств. Эта цель не обязательно связана с предыдущими целями, она наиболее достижима при размещении средств в финансовые активы, пользующиеся устойчивым спросом на фондовом рынке</w:t>
      </w:r>
      <w:r w:rsidR="00F178AC" w:rsidRPr="001D11C8">
        <w:rPr>
          <w:rFonts w:ascii="Times New Roman" w:hAnsi="Times New Roman" w:cs="Times New Roman"/>
          <w:sz w:val="28"/>
          <w:szCs w:val="28"/>
        </w:rPr>
        <w:t xml:space="preserve"> [3]</w:t>
      </w:r>
      <w:r w:rsidRPr="001D11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2E3345" w14:textId="2215B3D8" w:rsidR="003D7C6E" w:rsidRPr="001D11C8" w:rsidRDefault="003D7C6E" w:rsidP="00CA5014">
      <w:pPr>
        <w:pStyle w:val="2"/>
        <w:spacing w:before="0" w:line="360" w:lineRule="auto"/>
        <w:jc w:val="center"/>
        <w:rPr>
          <w:rFonts w:ascii="Times New Roman" w:hAnsi="Times New Roman" w:cs="Times New Roman"/>
        </w:rPr>
      </w:pPr>
      <w:r w:rsidRPr="001D11C8">
        <w:br w:type="page"/>
      </w:r>
      <w:bookmarkStart w:id="2" w:name="_Toc42636439"/>
      <w:r w:rsidRPr="001D11C8">
        <w:rPr>
          <w:rFonts w:ascii="Times New Roman" w:hAnsi="Times New Roman" w:cs="Times New Roman"/>
          <w:color w:val="auto"/>
          <w:sz w:val="28"/>
          <w:szCs w:val="28"/>
        </w:rPr>
        <w:lastRenderedPageBreak/>
        <w:t>2. Классификация инвестиционных портфелей</w:t>
      </w:r>
      <w:bookmarkEnd w:id="2"/>
    </w:p>
    <w:p w14:paraId="35A13C50" w14:textId="0593908C" w:rsidR="003D7C6E" w:rsidRPr="001D11C8" w:rsidRDefault="003D7C6E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ACFA8" w14:textId="77777777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Инвестиционные портфели бывают различных видов. Критерием классификации может служить источник дохода и степень риска.</w:t>
      </w:r>
    </w:p>
    <w:p w14:paraId="211D4A35" w14:textId="77777777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В зависимости от источника доходов портфели подразделяются на портфели роста и портфели дохода.</w:t>
      </w:r>
    </w:p>
    <w:p w14:paraId="7BB49590" w14:textId="2E93A110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i/>
          <w:iCs/>
          <w:sz w:val="28"/>
          <w:szCs w:val="28"/>
        </w:rPr>
        <w:t>Портфели роста</w:t>
      </w:r>
      <w:r w:rsidRPr="001D11C8">
        <w:rPr>
          <w:rFonts w:ascii="Times New Roman" w:hAnsi="Times New Roman" w:cs="Times New Roman"/>
          <w:sz w:val="28"/>
          <w:szCs w:val="28"/>
        </w:rPr>
        <w:t xml:space="preserve"> формируются из ценных бумаг, курсовая стоимость которых растет. Цель данного типа портфеля – рост стоимости портфеля. Портфели роста подразделяются на</w:t>
      </w:r>
      <w:r w:rsidR="00F178AC" w:rsidRPr="001D11C8">
        <w:rPr>
          <w:rFonts w:ascii="Times New Roman" w:hAnsi="Times New Roman" w:cs="Times New Roman"/>
          <w:sz w:val="28"/>
          <w:szCs w:val="28"/>
        </w:rPr>
        <w:t xml:space="preserve"> [9]</w:t>
      </w:r>
      <w:r w:rsidRPr="001D11C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9DAABFF" w14:textId="1EE5A4FB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–</w:t>
      </w:r>
      <w:r w:rsidR="008229EC" w:rsidRPr="001D11C8">
        <w:rPr>
          <w:rFonts w:ascii="Times New Roman" w:hAnsi="Times New Roman" w:cs="Times New Roman"/>
          <w:sz w:val="28"/>
          <w:szCs w:val="28"/>
        </w:rPr>
        <w:t> </w:t>
      </w:r>
      <w:r w:rsidRPr="001D11C8">
        <w:rPr>
          <w:rFonts w:ascii="Times New Roman" w:hAnsi="Times New Roman" w:cs="Times New Roman"/>
          <w:i/>
          <w:iCs/>
          <w:sz w:val="28"/>
          <w:szCs w:val="28"/>
        </w:rPr>
        <w:t>портфель высокого роста</w:t>
      </w:r>
      <w:r w:rsidRPr="001D11C8">
        <w:rPr>
          <w:rFonts w:ascii="Times New Roman" w:hAnsi="Times New Roman" w:cs="Times New Roman"/>
          <w:sz w:val="28"/>
          <w:szCs w:val="28"/>
        </w:rPr>
        <w:t xml:space="preserve"> нацелен на максимальный прирост капитала. В состав портфеля входят ценные бумаги быстрорастущих компаний. Инвестиции являются достаточно рискованными, но вместе с тем могут приносить самый высокий доход;</w:t>
      </w:r>
    </w:p>
    <w:p w14:paraId="35054B0D" w14:textId="2CA86CCE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– </w:t>
      </w:r>
      <w:r w:rsidRPr="001D11C8">
        <w:rPr>
          <w:rFonts w:ascii="Times New Roman" w:hAnsi="Times New Roman" w:cs="Times New Roman"/>
          <w:i/>
          <w:iCs/>
          <w:sz w:val="28"/>
          <w:szCs w:val="28"/>
        </w:rPr>
        <w:t>портфель умеренного роста</w:t>
      </w:r>
      <w:r w:rsidRPr="001D11C8">
        <w:rPr>
          <w:rFonts w:ascii="Times New Roman" w:hAnsi="Times New Roman" w:cs="Times New Roman"/>
          <w:sz w:val="28"/>
          <w:szCs w:val="28"/>
        </w:rPr>
        <w:t xml:space="preserve"> является наименее рискованным. Он состоит в основном из ценных бумаг хорошо известных компаний, характеризующихся хотя и невысокими, но устойчивыми темпами роста курсовой стоимости. Состав портфеля остается стабильным в течение длительного периода времени и нацелен на сохранение капитала;</w:t>
      </w:r>
    </w:p>
    <w:p w14:paraId="271CFD67" w14:textId="3E85A7AB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– </w:t>
      </w:r>
      <w:r w:rsidRPr="001D11C8">
        <w:rPr>
          <w:rFonts w:ascii="Times New Roman" w:hAnsi="Times New Roman" w:cs="Times New Roman"/>
          <w:i/>
          <w:iCs/>
          <w:sz w:val="28"/>
          <w:szCs w:val="28"/>
        </w:rPr>
        <w:t>портфель среднего роста</w:t>
      </w:r>
      <w:r w:rsidRPr="001D11C8">
        <w:rPr>
          <w:rFonts w:ascii="Times New Roman" w:hAnsi="Times New Roman" w:cs="Times New Roman"/>
          <w:sz w:val="28"/>
          <w:szCs w:val="28"/>
        </w:rPr>
        <w:t xml:space="preserve"> </w:t>
      </w:r>
      <w:r w:rsidR="003E5A12" w:rsidRPr="001D11C8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сочетание инвестиционных свойств портфелей умеренного и высокого роста. При этом гарантируется средний прирост капитала и умеренная степень риска. Является наиболее распространенной моделью портфеля.</w:t>
      </w:r>
    </w:p>
    <w:p w14:paraId="1E321D6E" w14:textId="652C46D9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i/>
          <w:iCs/>
          <w:sz w:val="28"/>
          <w:szCs w:val="28"/>
        </w:rPr>
        <w:t>Портфель дохода</w:t>
      </w:r>
      <w:r w:rsidRPr="001D11C8">
        <w:rPr>
          <w:rFonts w:ascii="Times New Roman" w:hAnsi="Times New Roman" w:cs="Times New Roman"/>
          <w:sz w:val="28"/>
          <w:szCs w:val="28"/>
        </w:rPr>
        <w:t xml:space="preserve"> ориентирован на получение высокого текущего дохода – процентов по облигациям и дивидендов по акциям. В него должны включаться акции, характеризующиеся умеренным ростом курсовой стоимости и высокими дивидендами, облигации и другие ценные бумаги, обеспечивающие высокие текущие выплаты. Цель создания этого портфеля - получение определенного уровня дохода, величина которого соответствовала бы минимальной степени риска. Поэтому объектами портфельного </w:t>
      </w:r>
      <w:r w:rsidRPr="001D11C8">
        <w:rPr>
          <w:rFonts w:ascii="Times New Roman" w:hAnsi="Times New Roman" w:cs="Times New Roman"/>
          <w:sz w:val="28"/>
          <w:szCs w:val="28"/>
        </w:rPr>
        <w:lastRenderedPageBreak/>
        <w:t>инвестирования в таком случае являются высоконадежные финансовые активы.</w:t>
      </w:r>
    </w:p>
    <w:p w14:paraId="039FC39B" w14:textId="79AFD815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i/>
          <w:iCs/>
          <w:sz w:val="28"/>
          <w:szCs w:val="28"/>
        </w:rPr>
        <w:t>Портфель постоянного дохода</w:t>
      </w:r>
      <w:r w:rsidRPr="001D11C8">
        <w:rPr>
          <w:rFonts w:ascii="Times New Roman" w:hAnsi="Times New Roman" w:cs="Times New Roman"/>
          <w:sz w:val="28"/>
          <w:szCs w:val="28"/>
        </w:rPr>
        <w:t xml:space="preserve"> – это портфель, который состоит из высоконадежных ценных бумаг и приносит средний доход при минимальном уровне риска.</w:t>
      </w:r>
    </w:p>
    <w:p w14:paraId="231FBF18" w14:textId="1E491E98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i/>
          <w:iCs/>
          <w:sz w:val="28"/>
          <w:szCs w:val="28"/>
        </w:rPr>
        <w:t>Портфель высокого дохода</w:t>
      </w:r>
      <w:r w:rsidRPr="001D11C8">
        <w:rPr>
          <w:rFonts w:ascii="Times New Roman" w:hAnsi="Times New Roman" w:cs="Times New Roman"/>
          <w:sz w:val="28"/>
          <w:szCs w:val="28"/>
        </w:rPr>
        <w:t xml:space="preserve"> включает высокодоходные ценные бумаги, приносящие высокий доход при среднем уровне риска.</w:t>
      </w:r>
    </w:p>
    <w:p w14:paraId="091D0947" w14:textId="61171E66" w:rsidR="003D7C6E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i/>
          <w:iCs/>
          <w:sz w:val="28"/>
          <w:szCs w:val="28"/>
        </w:rPr>
        <w:t>Комбинированный портфель</w:t>
      </w:r>
      <w:r w:rsidRPr="001D11C8">
        <w:rPr>
          <w:rFonts w:ascii="Times New Roman" w:hAnsi="Times New Roman" w:cs="Times New Roman"/>
          <w:sz w:val="28"/>
          <w:szCs w:val="28"/>
        </w:rPr>
        <w:t xml:space="preserve"> формируется для предотвращения возможных потерь на фондовом рынке, как от падения курсовой стоимости, так и низких дивидендных и процентных выплат. Одна часть финансовых активов приносит владельцу увеличение его капитала в связи с ростом курсовой стоимости, а другая - благодаря получению дивидендов и процентов. Падение прироста капитала из-за уменьшения одной части может компенсироваться возрастанием другой</w:t>
      </w:r>
      <w:r w:rsidR="00F178AC" w:rsidRPr="001D11C8">
        <w:rPr>
          <w:rFonts w:ascii="Times New Roman" w:hAnsi="Times New Roman" w:cs="Times New Roman"/>
          <w:sz w:val="28"/>
          <w:szCs w:val="28"/>
        </w:rPr>
        <w:t xml:space="preserve"> [7]</w:t>
      </w:r>
      <w:r w:rsidRPr="001D11C8">
        <w:rPr>
          <w:rFonts w:ascii="Times New Roman" w:hAnsi="Times New Roman" w:cs="Times New Roman"/>
          <w:sz w:val="28"/>
          <w:szCs w:val="28"/>
        </w:rPr>
        <w:t>.</w:t>
      </w:r>
      <w:r w:rsidR="00F178AC" w:rsidRPr="001D11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A10917" w14:textId="71E67CD0" w:rsidR="00846A24" w:rsidRPr="001D11C8" w:rsidRDefault="00846A24" w:rsidP="00846A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Таблица 1</w:t>
      </w:r>
    </w:p>
    <w:p w14:paraId="201E38EB" w14:textId="1B0CAC04" w:rsidR="00846A24" w:rsidRPr="001D11C8" w:rsidRDefault="00846A24" w:rsidP="00846A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Инвестиционный </w:t>
      </w:r>
      <w:r w:rsidR="0056251B" w:rsidRPr="001D11C8">
        <w:rPr>
          <w:rFonts w:ascii="Times New Roman" w:hAnsi="Times New Roman" w:cs="Times New Roman"/>
          <w:sz w:val="28"/>
          <w:szCs w:val="28"/>
        </w:rPr>
        <w:t>портфель для различных инвесторов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40"/>
        <w:gridCol w:w="1770"/>
        <w:gridCol w:w="1098"/>
        <w:gridCol w:w="2006"/>
        <w:gridCol w:w="2631"/>
      </w:tblGrid>
      <w:tr w:rsidR="00846A24" w:rsidRPr="00846A24" w14:paraId="18F752A8" w14:textId="77777777" w:rsidTr="0056251B">
        <w:tc>
          <w:tcPr>
            <w:tcW w:w="2122" w:type="dxa"/>
            <w:hideMark/>
          </w:tcPr>
          <w:p w14:paraId="1485881B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 инвестора</w:t>
            </w:r>
          </w:p>
        </w:tc>
        <w:tc>
          <w:tcPr>
            <w:tcW w:w="1551" w:type="dxa"/>
            <w:hideMark/>
          </w:tcPr>
          <w:p w14:paraId="61C31F1E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 инвестора</w:t>
            </w:r>
          </w:p>
        </w:tc>
        <w:tc>
          <w:tcPr>
            <w:tcW w:w="1087" w:type="dxa"/>
            <w:hideMark/>
          </w:tcPr>
          <w:p w14:paraId="158D9B4A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Степень</w:t>
            </w:r>
          </w:p>
          <w:p w14:paraId="748B341B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риска</w:t>
            </w:r>
          </w:p>
        </w:tc>
        <w:tc>
          <w:tcPr>
            <w:tcW w:w="1984" w:type="dxa"/>
            <w:hideMark/>
          </w:tcPr>
          <w:p w14:paraId="1B5AE1ED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 ценной бумаги</w:t>
            </w:r>
          </w:p>
        </w:tc>
        <w:tc>
          <w:tcPr>
            <w:tcW w:w="2601" w:type="dxa"/>
            <w:hideMark/>
          </w:tcPr>
          <w:p w14:paraId="089A0D27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 портфеля</w:t>
            </w:r>
          </w:p>
        </w:tc>
      </w:tr>
      <w:tr w:rsidR="00846A24" w:rsidRPr="00846A24" w14:paraId="6E51E74B" w14:textId="77777777" w:rsidTr="0056251B">
        <w:tc>
          <w:tcPr>
            <w:tcW w:w="2122" w:type="dxa"/>
            <w:hideMark/>
          </w:tcPr>
          <w:p w14:paraId="632AC76D" w14:textId="037A7770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Консерватив</w:t>
            </w:r>
            <w:r w:rsidR="0056251B" w:rsidRPr="001D1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</w: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="0056251B" w:rsidRPr="001D1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</w:p>
          <w:p w14:paraId="7B319CFA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1" w:type="dxa"/>
            <w:hideMark/>
          </w:tcPr>
          <w:p w14:paraId="396010BE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Защита от</w:t>
            </w:r>
          </w:p>
          <w:p w14:paraId="356F0E7C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инфляции</w:t>
            </w:r>
          </w:p>
        </w:tc>
        <w:tc>
          <w:tcPr>
            <w:tcW w:w="1087" w:type="dxa"/>
            <w:hideMark/>
          </w:tcPr>
          <w:p w14:paraId="008B6D23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Низкая</w:t>
            </w:r>
          </w:p>
        </w:tc>
        <w:tc>
          <w:tcPr>
            <w:tcW w:w="1984" w:type="dxa"/>
            <w:hideMark/>
          </w:tcPr>
          <w:p w14:paraId="7FE69321" w14:textId="2913BF06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Государственные ценные бумаги, акции, облига</w:t>
            </w:r>
            <w:r w:rsidR="0056251B" w:rsidRPr="001D1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</w: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ции крупных ста</w:t>
            </w:r>
            <w:r w:rsidR="0056251B" w:rsidRPr="001D1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</w: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бильных эмитен</w:t>
            </w:r>
            <w:r w:rsidR="0056251B" w:rsidRPr="001D1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</w: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тов</w:t>
            </w:r>
          </w:p>
        </w:tc>
        <w:tc>
          <w:tcPr>
            <w:tcW w:w="2601" w:type="dxa"/>
            <w:hideMark/>
          </w:tcPr>
          <w:p w14:paraId="4BA75AC4" w14:textId="502FCBB3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Высоконадежный, но низкодоходный</w:t>
            </w:r>
          </w:p>
        </w:tc>
      </w:tr>
      <w:tr w:rsidR="00846A24" w:rsidRPr="00846A24" w14:paraId="5439B48F" w14:textId="77777777" w:rsidTr="0056251B">
        <w:tc>
          <w:tcPr>
            <w:tcW w:w="2122" w:type="dxa"/>
            <w:hideMark/>
          </w:tcPr>
          <w:p w14:paraId="57231D22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Умеренно-агрессивный</w:t>
            </w:r>
          </w:p>
          <w:p w14:paraId="792188F9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1" w:type="dxa"/>
            <w:hideMark/>
          </w:tcPr>
          <w:p w14:paraId="1690C0AE" w14:textId="50EFC769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Рост капитала в долгосроч</w:t>
            </w:r>
            <w:r w:rsidR="0056251B" w:rsidRPr="001D1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</w: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 плане</w:t>
            </w:r>
          </w:p>
        </w:tc>
        <w:tc>
          <w:tcPr>
            <w:tcW w:w="1087" w:type="dxa"/>
            <w:hideMark/>
          </w:tcPr>
          <w:p w14:paraId="4A3C8F61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Средняя</w:t>
            </w:r>
          </w:p>
        </w:tc>
        <w:tc>
          <w:tcPr>
            <w:tcW w:w="1984" w:type="dxa"/>
            <w:hideMark/>
          </w:tcPr>
          <w:p w14:paraId="1055509C" w14:textId="46A82641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Государственные ценные бумаги, большая доля ценных бумаг крупных и надежных эми</w:t>
            </w:r>
            <w:r w:rsidR="0056251B" w:rsidRPr="001D1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</w: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тентов</w:t>
            </w:r>
          </w:p>
        </w:tc>
        <w:tc>
          <w:tcPr>
            <w:tcW w:w="2601" w:type="dxa"/>
            <w:hideMark/>
          </w:tcPr>
          <w:p w14:paraId="34023861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Диверсифицированный</w:t>
            </w:r>
          </w:p>
        </w:tc>
      </w:tr>
      <w:tr w:rsidR="00846A24" w:rsidRPr="00846A24" w14:paraId="4A943397" w14:textId="77777777" w:rsidTr="0056251B">
        <w:tc>
          <w:tcPr>
            <w:tcW w:w="2122" w:type="dxa"/>
            <w:hideMark/>
          </w:tcPr>
          <w:p w14:paraId="44D0AB30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Агрессивный</w:t>
            </w:r>
          </w:p>
          <w:p w14:paraId="14443718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1" w:type="dxa"/>
            <w:hideMark/>
          </w:tcPr>
          <w:p w14:paraId="1802415A" w14:textId="49DC797D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Спекулятивная игра, возмож</w:t>
            </w:r>
            <w:r w:rsidR="0056251B" w:rsidRPr="001D1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</w: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ность</w:t>
            </w:r>
          </w:p>
          <w:p w14:paraId="2991E4ED" w14:textId="1FFDE683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быстрого роста капитала</w:t>
            </w:r>
          </w:p>
        </w:tc>
        <w:tc>
          <w:tcPr>
            <w:tcW w:w="1087" w:type="dxa"/>
            <w:hideMark/>
          </w:tcPr>
          <w:p w14:paraId="5D0819A9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Высокая</w:t>
            </w:r>
          </w:p>
        </w:tc>
        <w:tc>
          <w:tcPr>
            <w:tcW w:w="1984" w:type="dxa"/>
            <w:hideMark/>
          </w:tcPr>
          <w:p w14:paraId="1ACD3FC3" w14:textId="54ECEAF0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Высокая доля высокодоходных ценных бумаг некрупных эмитентов, венчурных компаний</w:t>
            </w:r>
          </w:p>
        </w:tc>
        <w:tc>
          <w:tcPr>
            <w:tcW w:w="2601" w:type="dxa"/>
            <w:hideMark/>
          </w:tcPr>
          <w:p w14:paraId="4F13EDBC" w14:textId="77777777" w:rsidR="00846A24" w:rsidRPr="00846A24" w:rsidRDefault="00846A24" w:rsidP="00846A24">
            <w:pPr>
              <w:widowControl w:val="0"/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6A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Рискованный, но высокодоходный</w:t>
            </w:r>
          </w:p>
        </w:tc>
      </w:tr>
    </w:tbl>
    <w:p w14:paraId="1F7C4D72" w14:textId="77777777" w:rsidR="00846A24" w:rsidRPr="001D11C8" w:rsidRDefault="00846A24" w:rsidP="00846A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697ED" w14:textId="478F4DC5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lastRenderedPageBreak/>
        <w:t>Если рассматривать типы инвестиционных портфелей в зависимости от степени риска, приемлемого для инвестора, то надо учитывать тип инвестора</w:t>
      </w:r>
      <w:r w:rsidR="0045262F" w:rsidRPr="001D11C8">
        <w:rPr>
          <w:rFonts w:ascii="Times New Roman" w:hAnsi="Times New Roman" w:cs="Times New Roman"/>
          <w:sz w:val="28"/>
          <w:szCs w:val="28"/>
        </w:rPr>
        <w:t xml:space="preserve"> (таблица 1)</w:t>
      </w:r>
      <w:r w:rsidRPr="001D11C8">
        <w:rPr>
          <w:rFonts w:ascii="Times New Roman" w:hAnsi="Times New Roman" w:cs="Times New Roman"/>
          <w:sz w:val="28"/>
          <w:szCs w:val="28"/>
        </w:rPr>
        <w:t>.</w:t>
      </w:r>
    </w:p>
    <w:p w14:paraId="0475FA1F" w14:textId="77777777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При формировании инвестиционной политики определенное значение имеют индивидуальные склонности человека к риску. Одни предпочитают действовать осторожно, не претендуя на большой доход. Другие же могут идти на очень большой риск ради получения высокого дохода. Как правило, инвесторов подразделяют на консервативных, умеренно-агрессивных и агрессивных.</w:t>
      </w:r>
    </w:p>
    <w:p w14:paraId="405555CB" w14:textId="77777777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i/>
          <w:iCs/>
          <w:sz w:val="28"/>
          <w:szCs w:val="28"/>
        </w:rPr>
        <w:t>Консервативный</w:t>
      </w:r>
      <w:r w:rsidRPr="001D11C8">
        <w:rPr>
          <w:rFonts w:ascii="Times New Roman" w:hAnsi="Times New Roman" w:cs="Times New Roman"/>
          <w:sz w:val="28"/>
          <w:szCs w:val="28"/>
        </w:rPr>
        <w:t xml:space="preserve"> тип инвестора характеризуется склонностью к минимизации риска, к надежности вложений.</w:t>
      </w:r>
    </w:p>
    <w:p w14:paraId="24C92EE7" w14:textId="77777777" w:rsidR="00CA5014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i/>
          <w:iCs/>
          <w:sz w:val="28"/>
          <w:szCs w:val="28"/>
        </w:rPr>
        <w:t>Умеренно-агрессивному</w:t>
      </w:r>
      <w:r w:rsidRPr="001D11C8">
        <w:rPr>
          <w:rFonts w:ascii="Times New Roman" w:hAnsi="Times New Roman" w:cs="Times New Roman"/>
          <w:sz w:val="28"/>
          <w:szCs w:val="28"/>
        </w:rPr>
        <w:t xml:space="preserve"> типу инвестора присущи такие черты, как склонность к риску, но не очень высокому, предпочтение высокой доходности вложений, но с определенным уровнем защищенности.</w:t>
      </w:r>
    </w:p>
    <w:p w14:paraId="1B5D275D" w14:textId="6EAC6625" w:rsidR="0045262F" w:rsidRPr="001D11C8" w:rsidRDefault="00CA5014" w:rsidP="00CA5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i/>
          <w:iCs/>
          <w:sz w:val="28"/>
          <w:szCs w:val="28"/>
        </w:rPr>
        <w:t xml:space="preserve">Агрессивный </w:t>
      </w:r>
      <w:r w:rsidRPr="001D11C8">
        <w:rPr>
          <w:rFonts w:ascii="Times New Roman" w:hAnsi="Times New Roman" w:cs="Times New Roman"/>
          <w:sz w:val="28"/>
          <w:szCs w:val="28"/>
        </w:rPr>
        <w:t>инвестор готов идти на риск ради получения высокой доходности.</w:t>
      </w:r>
    </w:p>
    <w:p w14:paraId="66D789D5" w14:textId="77777777" w:rsidR="0045262F" w:rsidRPr="001D11C8" w:rsidRDefault="0045262F">
      <w:pPr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br w:type="page"/>
      </w:r>
    </w:p>
    <w:p w14:paraId="2F8A7B64" w14:textId="6674EB9D" w:rsidR="00CA5014" w:rsidRPr="001D11C8" w:rsidRDefault="0045262F" w:rsidP="0045262F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2636440"/>
      <w:r w:rsidRPr="001D11C8">
        <w:rPr>
          <w:rFonts w:ascii="Times New Roman" w:hAnsi="Times New Roman" w:cs="Times New Roman"/>
          <w:color w:val="auto"/>
          <w:sz w:val="28"/>
          <w:szCs w:val="28"/>
        </w:rPr>
        <w:lastRenderedPageBreak/>
        <w:t>3. Доходность и риск инвестиционного портфеля</w:t>
      </w:r>
      <w:bookmarkEnd w:id="3"/>
    </w:p>
    <w:p w14:paraId="2E7FDBF9" w14:textId="7A26B58C" w:rsidR="0045262F" w:rsidRPr="001D11C8" w:rsidRDefault="0045262F" w:rsidP="004526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A0EC1A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В теории портфельного инвестирования исходят из того, что значения доходности отдельной ценной бумаги портфеля являются случайными величинами, распределенными по нормальному (гауссовскому) закону.</w:t>
      </w:r>
    </w:p>
    <w:p w14:paraId="5C8EA9D0" w14:textId="55884ED6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Чтобы определить распределение вероятностей случайной величины r, необходимо знать, какие фактические значения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r</w:t>
      </w:r>
      <w:r w:rsidRPr="001D11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принимает данная величина и какова вероятность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Р</w:t>
      </w:r>
      <w:r w:rsidRPr="001D11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каждого подобного результата. При этом инвестора интересует доходность инвестиций в конце инвестиционного, холдингового периода, то есть будущие значения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r</w:t>
      </w:r>
      <w:r w:rsidRPr="001D11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>, которые в начальный момент инвестирования неизвестны. Значит, инвестор должен оперировать ожидаемым, будущим распределением случайной величины r</w:t>
      </w:r>
      <w:r w:rsidR="000B25AD" w:rsidRPr="001D11C8">
        <w:rPr>
          <w:rFonts w:ascii="Times New Roman" w:hAnsi="Times New Roman" w:cs="Times New Roman"/>
          <w:sz w:val="28"/>
          <w:szCs w:val="28"/>
        </w:rPr>
        <w:t xml:space="preserve"> [1]</w:t>
      </w:r>
      <w:r w:rsidRPr="001D11C8">
        <w:rPr>
          <w:rFonts w:ascii="Times New Roman" w:hAnsi="Times New Roman" w:cs="Times New Roman"/>
          <w:sz w:val="28"/>
          <w:szCs w:val="28"/>
        </w:rPr>
        <w:t>.</w:t>
      </w:r>
    </w:p>
    <w:p w14:paraId="681580E1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Существуют два подхода к построению распределения вероятностей: субъективный и объективный, или исторический. При использовании субъективного подхода инвестор, прежде всего, должен определить возможные сценарии развития экономической ситуации в течение холдингового периода, оценить вероятность каждого результата и ожидаемую при этом доходность ценной бумаги.</w:t>
      </w:r>
    </w:p>
    <w:p w14:paraId="1BFE1C4B" w14:textId="11E0DDEE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Субъективный подход имеет важное преимущество, поскольку позволяет оценивать сразу будущие значение доходности. Однако он не находит широкого применения, поскольку для обычного инвестора очень трудно сделать оценку вероятностей экономических сценариев и ожидаемую при этом доходность.</w:t>
      </w:r>
    </w:p>
    <w:p w14:paraId="7E9039F1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Чаще используется объективный, или исторический подход. В его основе лежит предположение о том, что распределение вероятностей будущих (ожидаемых) величин практически совпадает с распределением вероятностей уже наблюдавшихся фактических, исторических величин. Значит, чтобы получить представление о распределении случайной величины r в будущем, остаточно построить распределение этих величин за какой-то промежуток времени в прошлом.</w:t>
      </w:r>
    </w:p>
    <w:p w14:paraId="7E0BC470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lastRenderedPageBreak/>
        <w:t xml:space="preserve">Как показывают исследования западных экономистов, для рынка акций наиболее приемлемым является промежуток 7–10 шагов расчета. В отличие от субъективного подхода, который предполагает разную вероятность различных значений доходности, при объективном подходе каждый результат имеет одинаковую вероятность, поскольку при N наблюдениях случайной величины вероятность конкретного результата составляет величину 1/N. Например, если исследуется доходность акции за предшествующие 10 лет, то вероятность каждой годовой доходности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r</w:t>
      </w:r>
      <w:r w:rsidRPr="001D11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составляет 1/10.</w:t>
      </w:r>
    </w:p>
    <w:p w14:paraId="7E554B59" w14:textId="7C0B395F" w:rsidR="00797D30" w:rsidRPr="001D11C8" w:rsidRDefault="003E5A12" w:rsidP="00461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Наиболее часто в теории инвестиционного портфеля используется среднее арифметическое значение доходности отдельной ценной бумаги. Если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r</w:t>
      </w:r>
      <w:r w:rsidRPr="001D11C8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(t = </w:t>
      </w:r>
      <w:proofErr w:type="gramStart"/>
      <w:r w:rsidRPr="001D11C8">
        <w:rPr>
          <w:rFonts w:ascii="Times New Roman" w:hAnsi="Times New Roman" w:cs="Times New Roman"/>
          <w:sz w:val="28"/>
          <w:szCs w:val="28"/>
        </w:rPr>
        <w:t>1,2,…</w:t>
      </w:r>
      <w:proofErr w:type="gramEnd"/>
      <w:r w:rsidRPr="001D11C8">
        <w:rPr>
          <w:rFonts w:ascii="Times New Roman" w:hAnsi="Times New Roman" w:cs="Times New Roman"/>
          <w:sz w:val="28"/>
          <w:szCs w:val="28"/>
        </w:rPr>
        <w:t xml:space="preserve">,N) представляют собой значения доходности в конце t-го холдингового периода, а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P</w:t>
      </w:r>
      <w:r w:rsidRPr="001D11C8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– вероятности данных значений доходности, то</w:t>
      </w:r>
      <w:r w:rsidR="000B25AD" w:rsidRPr="001D11C8">
        <w:rPr>
          <w:rFonts w:ascii="Times New Roman" w:hAnsi="Times New Roman" w:cs="Times New Roman"/>
          <w:sz w:val="28"/>
          <w:szCs w:val="28"/>
        </w:rPr>
        <w:t xml:space="preserve"> [1]</w:t>
      </w:r>
      <w:r w:rsidRPr="001D11C8">
        <w:rPr>
          <w:rFonts w:ascii="Times New Roman" w:hAnsi="Times New Roman" w:cs="Times New Roman"/>
          <w:sz w:val="28"/>
          <w:szCs w:val="28"/>
        </w:rPr>
        <w:t>:</w:t>
      </w:r>
    </w:p>
    <w:p w14:paraId="3135D7D8" w14:textId="3B96EC09" w:rsidR="004616D9" w:rsidRPr="001D11C8" w:rsidRDefault="004616D9" w:rsidP="004616D9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E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t=1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sub>
            </m:sSub>
          </m:e>
        </m:nary>
      </m:oMath>
      <w:r w:rsidRPr="001D11C8">
        <w:rPr>
          <w:rFonts w:ascii="Times New Roman" w:eastAsiaTheme="minorEastAsia" w:hAnsi="Times New Roman" w:cs="Times New Roman"/>
          <w:sz w:val="28"/>
          <w:szCs w:val="28"/>
        </w:rPr>
        <w:t>,     (1)</w:t>
      </w:r>
    </w:p>
    <w:p w14:paraId="5EE71ED9" w14:textId="0D4117D6" w:rsidR="00797D30" w:rsidRPr="001D11C8" w:rsidRDefault="00797D30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г</w:t>
      </w:r>
      <w:r w:rsidR="003E5A12" w:rsidRPr="001D11C8">
        <w:rPr>
          <w:rFonts w:ascii="Times New Roman" w:hAnsi="Times New Roman" w:cs="Times New Roman"/>
          <w:sz w:val="28"/>
          <w:szCs w:val="28"/>
        </w:rPr>
        <w:t>де</w:t>
      </w:r>
    </w:p>
    <w:p w14:paraId="0DCC5177" w14:textId="77777777" w:rsidR="00797D30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E(</w:t>
      </w:r>
      <w:r w:rsidR="00126C79" w:rsidRPr="001D11C8">
        <w:rPr>
          <w:rFonts w:ascii="Times New Roman" w:hAnsi="Times New Roman" w:cs="Times New Roman"/>
          <w:sz w:val="28"/>
          <w:szCs w:val="28"/>
        </w:rPr>
        <w:t>r</w:t>
      </w:r>
      <w:r w:rsidRPr="001D11C8">
        <w:rPr>
          <w:rFonts w:ascii="Times New Roman" w:hAnsi="Times New Roman" w:cs="Times New Roman"/>
          <w:sz w:val="28"/>
          <w:szCs w:val="28"/>
        </w:rPr>
        <w:t xml:space="preserve">) – среднее арифметическое значение доходности; </w:t>
      </w:r>
    </w:p>
    <w:p w14:paraId="54352A83" w14:textId="3CF7E9AC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N – количество шагов расчета, в течение которых велись наблюдения.</w:t>
      </w:r>
    </w:p>
    <w:p w14:paraId="16ACBFAE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В случае объективного подхода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P</w:t>
      </w:r>
      <w:r w:rsidRPr="001D11C8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= 1/N, поэтому формула примет вид:</w:t>
      </w:r>
    </w:p>
    <w:p w14:paraId="7C4232C0" w14:textId="24751AEE" w:rsidR="003E5A12" w:rsidRPr="001D11C8" w:rsidRDefault="00797D30" w:rsidP="004616D9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E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t=1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den>
            </m:f>
          </m:e>
        </m:nary>
      </m:oMath>
      <w:r w:rsidRPr="001D11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616D9" w:rsidRPr="001D11C8">
        <w:rPr>
          <w:rFonts w:ascii="Times New Roman" w:eastAsiaTheme="minorEastAsia" w:hAnsi="Times New Roman" w:cs="Times New Roman"/>
          <w:sz w:val="28"/>
          <w:szCs w:val="28"/>
        </w:rPr>
        <w:t xml:space="preserve">     (2)</w:t>
      </w:r>
    </w:p>
    <w:p w14:paraId="6EB8DF2A" w14:textId="11A3EBCE" w:rsidR="00126C79" w:rsidRPr="001D11C8" w:rsidRDefault="003E5A12" w:rsidP="00797D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Наиболее часто риск ценной бумаги измеряют с помощью дисперсии </w:t>
      </w:r>
      <w:r w:rsidR="00126C79" w:rsidRPr="001D11C8">
        <w:rPr>
          <w:rFonts w:ascii="Times New Roman" w:hAnsi="Times New Roman" w:cs="Times New Roman"/>
          <w:sz w:val="28"/>
          <w:szCs w:val="28"/>
        </w:rPr>
        <w:sym w:font="Symbol" w:char="F073"/>
      </w:r>
      <w:r w:rsidR="00126C79" w:rsidRPr="001D11C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D11C8">
        <w:rPr>
          <w:rFonts w:ascii="Times New Roman" w:hAnsi="Times New Roman" w:cs="Times New Roman"/>
          <w:sz w:val="28"/>
          <w:szCs w:val="28"/>
        </w:rPr>
        <w:t xml:space="preserve"> и стандартного отклонения</w:t>
      </w:r>
      <w:r w:rsidR="00126C79" w:rsidRPr="001D11C8">
        <w:rPr>
          <w:rFonts w:ascii="Times New Roman" w:hAnsi="Times New Roman" w:cs="Times New Roman"/>
          <w:sz w:val="28"/>
          <w:szCs w:val="28"/>
        </w:rPr>
        <w:t xml:space="preserve"> </w:t>
      </w:r>
      <w:r w:rsidR="00126C79" w:rsidRPr="001D11C8">
        <w:rPr>
          <w:rFonts w:ascii="Times New Roman" w:hAnsi="Times New Roman" w:cs="Times New Roman"/>
          <w:sz w:val="28"/>
          <w:szCs w:val="28"/>
        </w:rPr>
        <w:sym w:font="Symbol" w:char="F073"/>
      </w:r>
      <w:r w:rsidR="00797D30" w:rsidRPr="001D11C8">
        <w:rPr>
          <w:rFonts w:ascii="Times New Roman" w:hAnsi="Times New Roman" w:cs="Times New Roman"/>
          <w:sz w:val="28"/>
          <w:szCs w:val="28"/>
        </w:rPr>
        <w:t>.</w:t>
      </w:r>
    </w:p>
    <w:p w14:paraId="589A0B50" w14:textId="31DAA88C" w:rsidR="00797D30" w:rsidRPr="001D11C8" w:rsidRDefault="003601BA" w:rsidP="004616D9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73"/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t=1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-E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N-1</m:t>
                </m:r>
              </m:den>
            </m:f>
          </m:e>
        </m:nary>
      </m:oMath>
      <w:r w:rsidR="00797D30" w:rsidRPr="001D11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616D9" w:rsidRPr="001D11C8">
        <w:rPr>
          <w:rFonts w:ascii="Times New Roman" w:eastAsiaTheme="minorEastAsia" w:hAnsi="Times New Roman" w:cs="Times New Roman"/>
          <w:sz w:val="28"/>
          <w:szCs w:val="28"/>
        </w:rPr>
        <w:t xml:space="preserve">     (3)</w:t>
      </w:r>
    </w:p>
    <w:p w14:paraId="1F2E5472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D11C8">
        <w:rPr>
          <w:rFonts w:ascii="Times New Roman" w:hAnsi="Times New Roman" w:cs="Times New Roman"/>
          <w:i/>
          <w:iCs/>
          <w:sz w:val="28"/>
          <w:szCs w:val="28"/>
        </w:rPr>
        <w:t>Доходность портфеля</w:t>
      </w:r>
    </w:p>
    <w:p w14:paraId="4F6A5CED" w14:textId="44885B99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Под ожидаемой доходностью портфеля понимается средневзвешенное значение ожидаемых значений доходности ценных бумаг, входящих в портфель</w:t>
      </w:r>
      <w:r w:rsidR="00456336" w:rsidRPr="001D11C8">
        <w:rPr>
          <w:rFonts w:ascii="Times New Roman" w:hAnsi="Times New Roman" w:cs="Times New Roman"/>
          <w:sz w:val="28"/>
          <w:szCs w:val="28"/>
        </w:rPr>
        <w:t xml:space="preserve"> [8]</w:t>
      </w:r>
      <w:r w:rsidRPr="001D11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7BBCD3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При этом «вес» каждой ценной бумаги определяется относительным количеством денег, направленных инвестором на покупку этой ценной бумаги. Ожидаемая доходность инвестиционного портфеля равна:</w:t>
      </w:r>
    </w:p>
    <w:p w14:paraId="2DA094BD" w14:textId="1CCFFE60" w:rsidR="00126C79" w:rsidRPr="001D11C8" w:rsidRDefault="00126C79" w:rsidP="004616D9">
      <w:pPr>
        <w:spacing w:before="120"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w:lastRenderedPageBreak/>
          <m:t>E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t=1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E(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nary>
      </m:oMath>
      <w:r w:rsidR="004616D9" w:rsidRPr="001D11C8">
        <w:rPr>
          <w:rFonts w:ascii="Times New Roman" w:eastAsiaTheme="minorEastAsia" w:hAnsi="Times New Roman" w:cs="Times New Roman"/>
          <w:sz w:val="28"/>
          <w:szCs w:val="28"/>
        </w:rPr>
        <w:t>,     (4)</w:t>
      </w:r>
    </w:p>
    <w:p w14:paraId="1AE14455" w14:textId="0022BF21" w:rsidR="00797D30" w:rsidRPr="001D11C8" w:rsidRDefault="00797D30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г</w:t>
      </w:r>
      <w:r w:rsidR="003E5A12" w:rsidRPr="001D11C8">
        <w:rPr>
          <w:rFonts w:ascii="Times New Roman" w:hAnsi="Times New Roman" w:cs="Times New Roman"/>
          <w:sz w:val="28"/>
          <w:szCs w:val="28"/>
        </w:rPr>
        <w:t>де</w:t>
      </w:r>
    </w:p>
    <w:p w14:paraId="54029B60" w14:textId="77777777" w:rsidR="00797D30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E(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r</w:t>
      </w:r>
      <w:r w:rsidRPr="001D11C8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) – ожидаемая доходность портфеля; </w:t>
      </w:r>
    </w:p>
    <w:p w14:paraId="074193B7" w14:textId="77777777" w:rsidR="00797D30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11C8">
        <w:rPr>
          <w:rFonts w:ascii="Times New Roman" w:hAnsi="Times New Roman" w:cs="Times New Roman"/>
          <w:sz w:val="28"/>
          <w:szCs w:val="28"/>
        </w:rPr>
        <w:t>W</w:t>
      </w:r>
      <w:r w:rsidRPr="001D11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– доля в общих инвестиционных расходах, идущая на приобретение ценной бумаги i («вес» ценной бумаги i в портфеле); </w:t>
      </w:r>
    </w:p>
    <w:p w14:paraId="4109E772" w14:textId="030F9130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E(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r</w:t>
      </w:r>
      <w:r w:rsidRPr="001D11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>) – ожидаемая доходность ценной бумаги i; n – число ценных бумаг в портфеле.</w:t>
      </w:r>
    </w:p>
    <w:p w14:paraId="3A0FB0C0" w14:textId="0ED6A535" w:rsidR="0045262F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Основными мерами риска инвестиций в финансовые активы принято считать стандартное отклонение и Бета-коэффициент, на основании которых и строятся CML и SML. Данные линии есть не что иное, как доходность эталонного портфеля, в зависимости от стандартного отклонения и Бета-коэффициента</w:t>
      </w:r>
      <w:r w:rsidR="00456336" w:rsidRPr="001D11C8">
        <w:rPr>
          <w:rFonts w:ascii="Times New Roman" w:hAnsi="Times New Roman" w:cs="Times New Roman"/>
          <w:sz w:val="28"/>
          <w:szCs w:val="28"/>
        </w:rPr>
        <w:t xml:space="preserve"> [2]</w:t>
      </w:r>
      <w:r w:rsidRPr="001D11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76D12A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67C85" w14:textId="222F4F40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D61112" wp14:editId="29A7B74A">
            <wp:extent cx="4547870" cy="224980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6E8FF3" w14:textId="5565772C" w:rsidR="0045262F" w:rsidRPr="001D11C8" w:rsidRDefault="003E5A12" w:rsidP="001F2D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Рис. 1. Доходность эталонного портфеля</w:t>
      </w:r>
    </w:p>
    <w:p w14:paraId="3099C8C6" w14:textId="16B81C17" w:rsidR="003E5A12" w:rsidRPr="001D11C8" w:rsidRDefault="003E5A12" w:rsidP="001F2D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2738AF" w14:textId="77777777" w:rsidR="00797D30" w:rsidRPr="001D11C8" w:rsidRDefault="00797D30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г</w:t>
      </w:r>
      <w:r w:rsidR="003E5A12" w:rsidRPr="001D11C8">
        <w:rPr>
          <w:rFonts w:ascii="Times New Roman" w:hAnsi="Times New Roman" w:cs="Times New Roman"/>
          <w:sz w:val="28"/>
          <w:szCs w:val="28"/>
        </w:rPr>
        <w:t xml:space="preserve">де </w:t>
      </w:r>
    </w:p>
    <w:p w14:paraId="6705CDB0" w14:textId="1FB6997F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средняя безрисковая процентная ставка;</w:t>
      </w:r>
    </w:p>
    <w:p w14:paraId="64B0C46C" w14:textId="7B073A47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b>
        </m:sSub>
      </m:oMath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средняя доходность рыночного индекса;</w:t>
      </w:r>
    </w:p>
    <w:bookmarkStart w:id="4" w:name="_Hlk42635280"/>
    <w:p w14:paraId="6C6C3F8B" w14:textId="425537A3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</m:oMath>
      <w:bookmarkEnd w:id="4"/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средняя доходность инвестиционного портфеля;</w:t>
      </w:r>
    </w:p>
    <w:p w14:paraId="0FCEAF4F" w14:textId="03B27B9A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73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b>
        </m:sSub>
      </m:oMath>
      <w:r w:rsidR="003E5A12" w:rsidRPr="001D11C8">
        <w:rPr>
          <w:rFonts w:ascii="Times New Roman" w:hAnsi="Times New Roman" w:cs="Times New Roman"/>
          <w:sz w:val="28"/>
          <w:szCs w:val="28"/>
        </w:rPr>
        <w:t>– стандартное отклонение доходности рыночного индекса;</w:t>
      </w:r>
    </w:p>
    <w:p w14:paraId="07282E43" w14:textId="08C0DDCD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73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</m:oMath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стандарт</w:t>
      </w:r>
      <w:proofErr w:type="spellStart"/>
      <w:r w:rsidR="001D11C8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="003E5A12" w:rsidRPr="001D11C8">
        <w:rPr>
          <w:rFonts w:ascii="Times New Roman" w:hAnsi="Times New Roman" w:cs="Times New Roman"/>
          <w:sz w:val="28"/>
          <w:szCs w:val="28"/>
        </w:rPr>
        <w:t xml:space="preserve"> отклонение доходности инвестиционного портфеля;</w:t>
      </w:r>
    </w:p>
    <w:p w14:paraId="2B837B89" w14:textId="2426E4AC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2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</m:oMath>
      <w:r w:rsidR="007D6B6A" w:rsidRPr="001D11C8">
        <w:rPr>
          <w:rFonts w:ascii="Times New Roman" w:hAnsi="Times New Roman" w:cs="Times New Roman"/>
          <w:sz w:val="28"/>
          <w:szCs w:val="28"/>
        </w:rPr>
        <w:t xml:space="preserve"> </w:t>
      </w:r>
      <w:r w:rsidR="003E5A12" w:rsidRPr="001D11C8">
        <w:rPr>
          <w:rFonts w:ascii="Times New Roman" w:hAnsi="Times New Roman" w:cs="Times New Roman"/>
          <w:sz w:val="28"/>
          <w:szCs w:val="28"/>
        </w:rPr>
        <w:t xml:space="preserve">– </w:t>
      </w:r>
      <w:r w:rsidR="001F2D6D" w:rsidRPr="001D11C8">
        <w:rPr>
          <w:rFonts w:ascii="Times New Roman" w:hAnsi="Times New Roman" w:cs="Times New Roman"/>
          <w:sz w:val="28"/>
          <w:szCs w:val="28"/>
        </w:rPr>
        <w:t>Б</w:t>
      </w:r>
      <w:r w:rsidR="003E5A12" w:rsidRPr="001D11C8">
        <w:rPr>
          <w:rFonts w:ascii="Times New Roman" w:hAnsi="Times New Roman" w:cs="Times New Roman"/>
          <w:sz w:val="28"/>
          <w:szCs w:val="28"/>
        </w:rPr>
        <w:t>ета-коэффициент инвестиционного портфеля;</w:t>
      </w:r>
    </w:p>
    <w:p w14:paraId="6E26FD46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Оценка инвестиционного портфеля происходит по следующему принципу – если его доходность находится выше линий CML и SML, то он считается более эффективным, чем эталонный портфель. И наоборот, инвестиционный портфель, доходность которого находится ниже линий CML и SML, будет считаться неэффективным ввиду получения заниженной доходности при повышенном уровне риска.</w:t>
      </w:r>
    </w:p>
    <w:p w14:paraId="68CF63B5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Для того чтобы формализовать процесс сравнения инвестиционного портфеля с эталонным портфелем, необходимо вывести ряд коэффициентов. Для этого необходимо представить в виде формулы линию SML:</w:t>
      </w:r>
    </w:p>
    <w:bookmarkStart w:id="5" w:name="_Hlk42634917"/>
    <w:p w14:paraId="40A29C3E" w14:textId="3EC96D33" w:rsidR="007D6B6A" w:rsidRPr="001D11C8" w:rsidRDefault="003601BA" w:rsidP="004616D9">
      <w:pPr>
        <w:spacing w:before="120" w:after="12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2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</m:oMath>
      <w:r w:rsidR="004616D9" w:rsidRPr="001D11C8">
        <w:rPr>
          <w:rFonts w:ascii="Times New Roman" w:eastAsiaTheme="minorEastAsia" w:hAnsi="Times New Roman" w:cs="Times New Roman"/>
          <w:sz w:val="28"/>
          <w:szCs w:val="28"/>
        </w:rPr>
        <w:t>,     (5)</w:t>
      </w:r>
    </w:p>
    <w:bookmarkEnd w:id="5"/>
    <w:p w14:paraId="01A1CA7B" w14:textId="1A141713" w:rsidR="00797D30" w:rsidRPr="001D11C8" w:rsidRDefault="00797D30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г</w:t>
      </w:r>
      <w:r w:rsidR="003E5A12" w:rsidRPr="001D11C8">
        <w:rPr>
          <w:rFonts w:ascii="Times New Roman" w:hAnsi="Times New Roman" w:cs="Times New Roman"/>
          <w:sz w:val="28"/>
          <w:szCs w:val="28"/>
        </w:rPr>
        <w:t xml:space="preserve">де  </w:t>
      </w:r>
    </w:p>
    <w:p w14:paraId="2F959A56" w14:textId="1717A857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p>
        </m:sSubSup>
      </m:oMath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средняя доходность эталонного портфеля;</w:t>
      </w:r>
    </w:p>
    <w:p w14:paraId="194E9502" w14:textId="432FBAFC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b>
        </m:sSub>
      </m:oMath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средняя доходность рыночного индекса;</w:t>
      </w:r>
    </w:p>
    <w:bookmarkStart w:id="6" w:name="_Hlk42635296"/>
    <w:p w14:paraId="76B7374E" w14:textId="7742572F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</m:oMath>
      <w:bookmarkEnd w:id="6"/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средняя безрисковая процентная ставка;</w:t>
      </w:r>
    </w:p>
    <w:bookmarkStart w:id="7" w:name="_Hlk42635183"/>
    <w:p w14:paraId="6DD19369" w14:textId="76ED5DB8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62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</m:oMath>
      <w:bookmarkEnd w:id="7"/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Бета-коэффициент инвестиционного портфеля</w:t>
      </w:r>
      <w:r w:rsidR="004B408F" w:rsidRPr="001D11C8">
        <w:rPr>
          <w:rFonts w:ascii="Times New Roman" w:hAnsi="Times New Roman" w:cs="Times New Roman"/>
          <w:sz w:val="28"/>
          <w:szCs w:val="28"/>
        </w:rPr>
        <w:t>.</w:t>
      </w:r>
    </w:p>
    <w:p w14:paraId="5480CD60" w14:textId="699852C6" w:rsidR="003E5A12" w:rsidRPr="001D11C8" w:rsidRDefault="003E5A12" w:rsidP="001F2D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Затем нужно представить в виде формулы линию CML:</w:t>
      </w:r>
    </w:p>
    <w:p w14:paraId="13AC7071" w14:textId="24B26DFE" w:rsidR="004B408F" w:rsidRPr="001D11C8" w:rsidRDefault="003601BA" w:rsidP="004616D9">
      <w:pPr>
        <w:spacing w:before="120" w:after="12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73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b>
            </m:sSub>
          </m:den>
        </m:f>
        <w:bookmarkStart w:id="8" w:name="_Hlk42635019"/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73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</m:oMath>
      <w:bookmarkEnd w:id="8"/>
      <w:r w:rsidR="004616D9" w:rsidRPr="001D11C8">
        <w:rPr>
          <w:rFonts w:ascii="Times New Roman" w:eastAsiaTheme="minorEastAsia" w:hAnsi="Times New Roman" w:cs="Times New Roman"/>
          <w:sz w:val="28"/>
          <w:szCs w:val="28"/>
        </w:rPr>
        <w:t>,     (6)</w:t>
      </w:r>
    </w:p>
    <w:p w14:paraId="219D0CD6" w14:textId="77777777" w:rsidR="00797D30" w:rsidRPr="001D11C8" w:rsidRDefault="00797D30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г</w:t>
      </w:r>
      <w:r w:rsidR="003E5A12" w:rsidRPr="001D11C8">
        <w:rPr>
          <w:rFonts w:ascii="Times New Roman" w:hAnsi="Times New Roman" w:cs="Times New Roman"/>
          <w:sz w:val="28"/>
          <w:szCs w:val="28"/>
        </w:rPr>
        <w:t>де</w:t>
      </w:r>
      <w:r w:rsidR="001F2D6D" w:rsidRPr="001D11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53CDC3" w14:textId="62102D0C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73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b>
        </m:sSub>
      </m:oMath>
      <w:r w:rsidR="003E5A12" w:rsidRPr="001D11C8">
        <w:rPr>
          <w:rFonts w:ascii="Times New Roman" w:hAnsi="Times New Roman" w:cs="Times New Roman"/>
          <w:sz w:val="28"/>
          <w:szCs w:val="28"/>
        </w:rPr>
        <w:t xml:space="preserve">  – стандартное отклонение рыночного индекса;</w:t>
      </w:r>
    </w:p>
    <w:p w14:paraId="6609B5A3" w14:textId="75540CCE" w:rsidR="003E5A12" w:rsidRPr="001D11C8" w:rsidRDefault="003601BA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i/>
                <w:sz w:val="28"/>
                <w:szCs w:val="28"/>
              </w:rPr>
              <w:sym w:font="Symbol" w:char="F073"/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sub>
        </m:sSub>
      </m:oMath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стандартное отклонение инвестиционного портфеля;</w:t>
      </w:r>
    </w:p>
    <w:p w14:paraId="1D8A1B8A" w14:textId="677C5C53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Первым показателем, выступающим мерой эффективности портфеля, является Коэффициент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Трейнора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>, рассчитываемый как отношение избыточной доходности портфеля, по сравнению с безрисковой процентной ставкой, к рыночному риску портфеля (Бета-коэффициенту)</w:t>
      </w:r>
      <w:r w:rsidR="004C7199" w:rsidRPr="001D11C8">
        <w:rPr>
          <w:rFonts w:ascii="Times New Roman" w:hAnsi="Times New Roman" w:cs="Times New Roman"/>
          <w:sz w:val="28"/>
          <w:szCs w:val="28"/>
        </w:rPr>
        <w:t xml:space="preserve"> [2]</w:t>
      </w:r>
      <w:r w:rsidRPr="001D11C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4F3122" w14:textId="6412DD55" w:rsidR="003E5A12" w:rsidRPr="001D11C8" w:rsidRDefault="00EC1F5C" w:rsidP="004616D9">
      <w:pPr>
        <w:spacing w:before="120"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Hlk42635350"/>
      <m:oMath>
        <m:r>
          <w:rPr>
            <w:rFonts w:ascii="Cambria Math" w:hAnsi="Cambria Math" w:cs="Times New Roman"/>
            <w:sz w:val="28"/>
            <w:szCs w:val="28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62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</m:den>
        </m:f>
      </m:oMath>
      <w:r w:rsidR="004616D9" w:rsidRPr="001D11C8">
        <w:rPr>
          <w:rFonts w:ascii="Times New Roman" w:eastAsiaTheme="minorEastAsia" w:hAnsi="Times New Roman" w:cs="Times New Roman"/>
          <w:sz w:val="28"/>
          <w:szCs w:val="28"/>
        </w:rPr>
        <w:t>,     (7)</w:t>
      </w:r>
    </w:p>
    <w:bookmarkEnd w:id="9"/>
    <w:p w14:paraId="371CC170" w14:textId="10D9086D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lastRenderedPageBreak/>
        <w:t>Вторым мерилом эффективности инвестиционного портфеля является Коэффициент Шарпа, рассчитываемый как отношение избыточной доходности портфеля, по сравнению с безрисковой процентной ставкой, к общему риску портфеля</w:t>
      </w:r>
      <w:r w:rsidR="001F2D6D" w:rsidRPr="001D11C8">
        <w:rPr>
          <w:rFonts w:ascii="Times New Roman" w:hAnsi="Times New Roman" w:cs="Times New Roman"/>
          <w:sz w:val="28"/>
          <w:szCs w:val="28"/>
        </w:rPr>
        <w:t xml:space="preserve"> </w:t>
      </w:r>
      <w:r w:rsidRPr="001D11C8">
        <w:rPr>
          <w:rFonts w:ascii="Times New Roman" w:hAnsi="Times New Roman" w:cs="Times New Roman"/>
          <w:sz w:val="28"/>
          <w:szCs w:val="28"/>
        </w:rPr>
        <w:t>(стандартному отклонению доходности):</w:t>
      </w:r>
    </w:p>
    <w:p w14:paraId="6535C897" w14:textId="23F818C6" w:rsidR="003E5A12" w:rsidRPr="001D11C8" w:rsidRDefault="00EC1F5C" w:rsidP="004616D9">
      <w:pPr>
        <w:spacing w:before="120"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S=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  <w:sym w:font="Symbol" w:char="F073"/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</m:den>
        </m:f>
      </m:oMath>
      <w:r w:rsidR="004616D9" w:rsidRPr="001D11C8">
        <w:rPr>
          <w:rFonts w:ascii="Times New Roman" w:eastAsiaTheme="minorEastAsia" w:hAnsi="Times New Roman" w:cs="Times New Roman"/>
          <w:sz w:val="28"/>
          <w:szCs w:val="28"/>
        </w:rPr>
        <w:t>,     (8)</w:t>
      </w:r>
    </w:p>
    <w:p w14:paraId="5B5D4011" w14:textId="77777777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В первую очередь, эти коэффициенты рассчитываются для эталонного портфеля, с целью получения эталонных коэффициентов для заданных уровней рыночного и общего риска инвестиционного портфеля. После этого производится расчет коэффициентов непосредственно для инвестиционного портфеля.</w:t>
      </w:r>
    </w:p>
    <w:p w14:paraId="236FA5A4" w14:textId="63B05B48" w:rsidR="003E5A12" w:rsidRPr="001D11C8" w:rsidRDefault="003E5A12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Инвестиционный портфель считается эффективным, если:</w:t>
      </w:r>
    </w:p>
    <w:p w14:paraId="0D3259C6" w14:textId="0756349A" w:rsidR="003E5A12" w:rsidRPr="00A124D5" w:rsidRDefault="00EC1F5C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24D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E5A12" w:rsidRPr="00A124D5">
        <w:rPr>
          <w:rFonts w:ascii="Times New Roman" w:hAnsi="Times New Roman" w:cs="Times New Roman"/>
          <w:sz w:val="28"/>
          <w:szCs w:val="28"/>
          <w:lang w:val="en-US"/>
        </w:rPr>
        <w:t xml:space="preserve"> &gt; </w:t>
      </w:r>
      <w:r w:rsidRPr="00A124D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E5A12" w:rsidRPr="00A124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</w:t>
      </w:r>
      <w:r w:rsidR="003E5A12" w:rsidRPr="00A12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5A12" w:rsidRPr="001D11C8">
        <w:rPr>
          <w:rFonts w:ascii="Times New Roman" w:hAnsi="Times New Roman" w:cs="Times New Roman"/>
          <w:sz w:val="28"/>
          <w:szCs w:val="28"/>
        </w:rPr>
        <w:t>и</w:t>
      </w:r>
      <w:r w:rsidR="003E5A12" w:rsidRPr="00A12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4D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E5A12" w:rsidRPr="00A124D5">
        <w:rPr>
          <w:rFonts w:ascii="Times New Roman" w:hAnsi="Times New Roman" w:cs="Times New Roman"/>
          <w:sz w:val="28"/>
          <w:szCs w:val="28"/>
          <w:lang w:val="en-US"/>
        </w:rPr>
        <w:t xml:space="preserve"> &gt; 0</w:t>
      </w:r>
    </w:p>
    <w:p w14:paraId="5FAAC88F" w14:textId="47913DBE" w:rsidR="003E5A12" w:rsidRPr="00A124D5" w:rsidRDefault="00EC1F5C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24D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E5A12" w:rsidRPr="00A124D5">
        <w:rPr>
          <w:rFonts w:ascii="Times New Roman" w:hAnsi="Times New Roman" w:cs="Times New Roman"/>
          <w:sz w:val="28"/>
          <w:szCs w:val="28"/>
          <w:lang w:val="en-US"/>
        </w:rPr>
        <w:t xml:space="preserve"> &gt; </w:t>
      </w:r>
      <w:r w:rsidRPr="00A124D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E5A12" w:rsidRPr="00A124D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</w:t>
      </w:r>
      <w:r w:rsidR="003E5A12" w:rsidRPr="00A12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5A12" w:rsidRPr="001D11C8">
        <w:rPr>
          <w:rFonts w:ascii="Times New Roman" w:hAnsi="Times New Roman" w:cs="Times New Roman"/>
          <w:sz w:val="28"/>
          <w:szCs w:val="28"/>
        </w:rPr>
        <w:t>и</w:t>
      </w:r>
      <w:r w:rsidR="003E5A12" w:rsidRPr="00A12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4D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E5A12" w:rsidRPr="00A124D5">
        <w:rPr>
          <w:rFonts w:ascii="Times New Roman" w:hAnsi="Times New Roman" w:cs="Times New Roman"/>
          <w:sz w:val="28"/>
          <w:szCs w:val="28"/>
          <w:lang w:val="en-US"/>
        </w:rPr>
        <w:t xml:space="preserve"> &gt; 0 (</w:t>
      </w:r>
      <w:r w:rsidR="003E5A12" w:rsidRPr="001D11C8">
        <w:rPr>
          <w:rFonts w:ascii="Times New Roman" w:hAnsi="Times New Roman" w:cs="Times New Roman"/>
          <w:sz w:val="28"/>
          <w:szCs w:val="28"/>
        </w:rPr>
        <w:t>при</w:t>
      </w:r>
      <w:r w:rsidR="003E5A12" w:rsidRPr="00A12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5A12" w:rsidRPr="001D11C8">
        <w:rPr>
          <w:rFonts w:ascii="Times New Roman" w:hAnsi="Times New Roman" w:cs="Times New Roman"/>
          <w:sz w:val="28"/>
          <w:szCs w:val="28"/>
        </w:rPr>
        <w:t>β</w:t>
      </w:r>
      <w:r w:rsidR="003E5A12" w:rsidRPr="00A124D5">
        <w:rPr>
          <w:rFonts w:ascii="Times New Roman" w:hAnsi="Times New Roman" w:cs="Times New Roman"/>
          <w:sz w:val="28"/>
          <w:szCs w:val="28"/>
          <w:lang w:val="en-US"/>
        </w:rPr>
        <w:t>&gt;0)</w:t>
      </w:r>
    </w:p>
    <w:p w14:paraId="35DD08AA" w14:textId="49296CAB" w:rsidR="003E5A12" w:rsidRPr="001D11C8" w:rsidRDefault="00EC1F5C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S</w:t>
      </w:r>
      <w:r w:rsidR="003E5A12" w:rsidRPr="001D11C8">
        <w:rPr>
          <w:rFonts w:ascii="Times New Roman" w:hAnsi="Times New Roman" w:cs="Times New Roman"/>
          <w:sz w:val="28"/>
          <w:szCs w:val="28"/>
        </w:rPr>
        <w:t xml:space="preserve"> &lt;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S</w:t>
      </w:r>
      <w:r w:rsidR="003E5A12" w:rsidRPr="001D11C8">
        <w:rPr>
          <w:rFonts w:ascii="Times New Roman" w:hAnsi="Times New Roman" w:cs="Times New Roman"/>
          <w:sz w:val="28"/>
          <w:szCs w:val="28"/>
          <w:vertAlign w:val="subscript"/>
        </w:rPr>
        <w:t>e</w:t>
      </w:r>
      <w:proofErr w:type="spellEnd"/>
      <w:r w:rsidR="003E5A12" w:rsidRPr="001D11C8">
        <w:rPr>
          <w:rFonts w:ascii="Times New Roman" w:hAnsi="Times New Roman" w:cs="Times New Roman"/>
          <w:sz w:val="28"/>
          <w:szCs w:val="28"/>
        </w:rPr>
        <w:t xml:space="preserve"> и </w:t>
      </w:r>
      <w:r w:rsidRPr="001D11C8">
        <w:rPr>
          <w:rFonts w:ascii="Times New Roman" w:hAnsi="Times New Roman" w:cs="Times New Roman"/>
          <w:sz w:val="28"/>
          <w:szCs w:val="28"/>
        </w:rPr>
        <w:t>S</w:t>
      </w:r>
      <w:r w:rsidR="003E5A12" w:rsidRPr="001D11C8">
        <w:rPr>
          <w:rFonts w:ascii="Times New Roman" w:hAnsi="Times New Roman" w:cs="Times New Roman"/>
          <w:sz w:val="28"/>
          <w:szCs w:val="28"/>
        </w:rPr>
        <w:t xml:space="preserve"> &lt; 0 (при β&lt;0)</w:t>
      </w:r>
    </w:p>
    <w:p w14:paraId="2780FBEF" w14:textId="36CF6A00" w:rsidR="00797D30" w:rsidRPr="001D11C8" w:rsidRDefault="00797D30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г</w:t>
      </w:r>
      <w:r w:rsidR="003E5A12" w:rsidRPr="001D11C8">
        <w:rPr>
          <w:rFonts w:ascii="Times New Roman" w:hAnsi="Times New Roman" w:cs="Times New Roman"/>
          <w:sz w:val="28"/>
          <w:szCs w:val="28"/>
        </w:rPr>
        <w:t>де</w:t>
      </w:r>
      <w:r w:rsidRPr="001D11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A23F1D" w14:textId="42172DF1" w:rsidR="003E5A12" w:rsidRPr="001D11C8" w:rsidRDefault="00EC1F5C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T</w:t>
      </w:r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коэффициент </w:t>
      </w:r>
      <w:proofErr w:type="spellStart"/>
      <w:r w:rsidR="003E5A12" w:rsidRPr="001D11C8">
        <w:rPr>
          <w:rFonts w:ascii="Times New Roman" w:hAnsi="Times New Roman" w:cs="Times New Roman"/>
          <w:sz w:val="28"/>
          <w:szCs w:val="28"/>
        </w:rPr>
        <w:t>Трейнора</w:t>
      </w:r>
      <w:proofErr w:type="spellEnd"/>
      <w:r w:rsidR="003E5A12" w:rsidRPr="001D11C8">
        <w:rPr>
          <w:rFonts w:ascii="Times New Roman" w:hAnsi="Times New Roman" w:cs="Times New Roman"/>
          <w:sz w:val="28"/>
          <w:szCs w:val="28"/>
        </w:rPr>
        <w:t xml:space="preserve"> инвестиционного портфеля;</w:t>
      </w:r>
    </w:p>
    <w:p w14:paraId="1A5C482E" w14:textId="1FAF1B27" w:rsidR="003E5A12" w:rsidRPr="001D11C8" w:rsidRDefault="00EC1F5C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11C8">
        <w:rPr>
          <w:rFonts w:ascii="Times New Roman" w:hAnsi="Times New Roman" w:cs="Times New Roman"/>
          <w:sz w:val="28"/>
          <w:szCs w:val="28"/>
        </w:rPr>
        <w:t>T</w:t>
      </w:r>
      <w:r w:rsidR="003E5A12" w:rsidRPr="001D11C8">
        <w:rPr>
          <w:rFonts w:ascii="Times New Roman" w:hAnsi="Times New Roman" w:cs="Times New Roman"/>
          <w:sz w:val="28"/>
          <w:szCs w:val="28"/>
          <w:vertAlign w:val="subscript"/>
        </w:rPr>
        <w:t>e</w:t>
      </w:r>
      <w:proofErr w:type="spellEnd"/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коэффициент </w:t>
      </w:r>
      <w:proofErr w:type="spellStart"/>
      <w:r w:rsidR="003E5A12" w:rsidRPr="001D11C8">
        <w:rPr>
          <w:rFonts w:ascii="Times New Roman" w:hAnsi="Times New Roman" w:cs="Times New Roman"/>
          <w:sz w:val="28"/>
          <w:szCs w:val="28"/>
        </w:rPr>
        <w:t>Трейнора</w:t>
      </w:r>
      <w:proofErr w:type="spellEnd"/>
      <w:r w:rsidR="003E5A12" w:rsidRPr="001D11C8">
        <w:rPr>
          <w:rFonts w:ascii="Times New Roman" w:hAnsi="Times New Roman" w:cs="Times New Roman"/>
          <w:sz w:val="28"/>
          <w:szCs w:val="28"/>
        </w:rPr>
        <w:t xml:space="preserve"> эталонного портфеля;</w:t>
      </w:r>
    </w:p>
    <w:p w14:paraId="6149BDF0" w14:textId="33DE8A40" w:rsidR="003E5A12" w:rsidRPr="001D11C8" w:rsidRDefault="00EC1F5C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S</w:t>
      </w:r>
      <w:r w:rsidR="003E5A12" w:rsidRPr="001D11C8">
        <w:rPr>
          <w:rFonts w:ascii="Times New Roman" w:hAnsi="Times New Roman" w:cs="Times New Roman"/>
          <w:sz w:val="28"/>
          <w:szCs w:val="28"/>
        </w:rPr>
        <w:t xml:space="preserve"> – коэффициент Шарпа инвестиционного портфеля;</w:t>
      </w:r>
    </w:p>
    <w:p w14:paraId="301A4EC3" w14:textId="22A9F184" w:rsidR="008229EC" w:rsidRPr="001D11C8" w:rsidRDefault="00EC1F5C" w:rsidP="001F2D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11C8">
        <w:rPr>
          <w:rFonts w:ascii="Times New Roman" w:hAnsi="Times New Roman" w:cs="Times New Roman"/>
          <w:sz w:val="28"/>
          <w:szCs w:val="28"/>
        </w:rPr>
        <w:t>S</w:t>
      </w:r>
      <w:r w:rsidR="003E5A12" w:rsidRPr="001D11C8">
        <w:rPr>
          <w:rFonts w:ascii="Times New Roman" w:hAnsi="Times New Roman" w:cs="Times New Roman"/>
          <w:sz w:val="28"/>
          <w:szCs w:val="28"/>
          <w:vertAlign w:val="subscript"/>
        </w:rPr>
        <w:t>e</w:t>
      </w:r>
      <w:proofErr w:type="spellEnd"/>
      <w:r w:rsidR="003E5A12" w:rsidRPr="001D11C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E5A12" w:rsidRPr="001D11C8">
        <w:rPr>
          <w:rFonts w:ascii="Times New Roman" w:hAnsi="Times New Roman" w:cs="Times New Roman"/>
          <w:sz w:val="28"/>
          <w:szCs w:val="28"/>
        </w:rPr>
        <w:t>– коэффициент Шарпа эталонного портфеля</w:t>
      </w:r>
      <w:r w:rsidR="008229EC" w:rsidRPr="001D11C8">
        <w:rPr>
          <w:rFonts w:ascii="Times New Roman" w:hAnsi="Times New Roman" w:cs="Times New Roman"/>
          <w:sz w:val="28"/>
          <w:szCs w:val="28"/>
        </w:rPr>
        <w:t>.</w:t>
      </w:r>
    </w:p>
    <w:p w14:paraId="488646A0" w14:textId="77777777" w:rsidR="008229EC" w:rsidRPr="001D11C8" w:rsidRDefault="008229EC">
      <w:pPr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br w:type="page"/>
      </w:r>
    </w:p>
    <w:p w14:paraId="495A309A" w14:textId="7825D34B" w:rsidR="003E5A12" w:rsidRPr="001D11C8" w:rsidRDefault="008229EC" w:rsidP="008229EC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42636441"/>
      <w:r w:rsidRPr="001D11C8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ЗАКЛЮЧЕНИЕ</w:t>
      </w:r>
      <w:bookmarkEnd w:id="10"/>
    </w:p>
    <w:p w14:paraId="5E27EB44" w14:textId="3C7975D5" w:rsidR="008229EC" w:rsidRPr="001D11C8" w:rsidRDefault="008229EC" w:rsidP="0082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90F0D4" w14:textId="74776603" w:rsidR="00D672F3" w:rsidRPr="001D11C8" w:rsidRDefault="00D672F3" w:rsidP="00D6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Любой инвестор желает составить такой портфель акций, который будет обгонять рынок по доходности на длинной дистанции. Но он должен учитывать, что высокая доходность напрямую связана с рисками более высоких потерь. Поэтому при создании портфеля необходимо учитывать оба параметра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доходность и риск.</w:t>
      </w:r>
    </w:p>
    <w:p w14:paraId="5273A3D8" w14:textId="77777777" w:rsidR="00D672F3" w:rsidRPr="001D11C8" w:rsidRDefault="00D672F3" w:rsidP="00D6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В условиях рыночных отношений, при наличии конкуренции и возникновении порой непредсказуемых ситуаций, хозяйственная, производственная или коммерческая деятельность невозможна без рисков. Однако и отсутствие риска, т.е. опасности наступления непредсказуемых и нежелательных для субъекта предпринимательской деятельности последствий его действий, в конечном счете вредит экономике, подрывает ее динамичность и эффективность. Нормальный ход экономического развития требует достаточно полной и разнообразной «рисковой стратификации», которая обеспечивает каждому субъекту возможность занять позиции в такой зоне хозяйствования, в которой степень риска отвечает его наклонностям и личным качествам. Существование риска и неизбежные в ходе развития изменения его степени выступают постоянным и сильнодействующим фактором движения предпринимательской сферы экономики.</w:t>
      </w:r>
    </w:p>
    <w:p w14:paraId="39618377" w14:textId="24192420" w:rsidR="00D672F3" w:rsidRPr="001D11C8" w:rsidRDefault="00D672F3" w:rsidP="00D6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Риски возникают в связи с движением финансовых потоков и проявляются на рынках финансовых ресурсов в основном в виде процентного, валютного, кредитного, коммерческого, инвестиционного </w:t>
      </w:r>
      <w:r w:rsidR="008D6EBE" w:rsidRPr="001D11C8">
        <w:rPr>
          <w:rFonts w:ascii="Times New Roman" w:hAnsi="Times New Roman" w:cs="Times New Roman"/>
          <w:sz w:val="28"/>
          <w:szCs w:val="28"/>
        </w:rPr>
        <w:t>рисков.</w:t>
      </w:r>
    </w:p>
    <w:p w14:paraId="1AAA35F6" w14:textId="20D4C384" w:rsidR="00D672F3" w:rsidRPr="001D11C8" w:rsidRDefault="00D672F3" w:rsidP="00D672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Риск и доходность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взаимозависимы и прямо пропорциональны. Чем больше прибыль, тем больше риск, и наоборот; </w:t>
      </w:r>
      <w:r w:rsidRPr="001D11C8">
        <w:rPr>
          <w:rFonts w:ascii="Times New Roman" w:hAnsi="Times New Roman" w:cs="Times New Roman"/>
          <w:i/>
          <w:iCs/>
          <w:sz w:val="28"/>
          <w:szCs w:val="28"/>
        </w:rPr>
        <w:t>если риск велик, доходность тоже должна быть велика</w:t>
      </w:r>
      <w:r w:rsidRPr="001D11C8">
        <w:rPr>
          <w:rFonts w:ascii="Times New Roman" w:hAnsi="Times New Roman" w:cs="Times New Roman"/>
          <w:sz w:val="28"/>
          <w:szCs w:val="28"/>
        </w:rPr>
        <w:t xml:space="preserve"> и т.д. Соотношение риска и доходности должно быть оптимальным, и целью должно быть увеличение доходности при уменьшении риска. Связь доходности с риском является самым основным правилом для изучения всем, кто занимается инвестиционной деятельностью.</w:t>
      </w:r>
    </w:p>
    <w:p w14:paraId="18CEA12F" w14:textId="77777777" w:rsidR="00D672F3" w:rsidRPr="001D11C8" w:rsidRDefault="00D672F3">
      <w:pPr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br w:type="page"/>
      </w:r>
    </w:p>
    <w:p w14:paraId="380EE6B9" w14:textId="0B65F355" w:rsidR="008229EC" w:rsidRPr="001D11C8" w:rsidRDefault="00D672F3" w:rsidP="002F5F30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42636442"/>
      <w:r w:rsidRPr="001D11C8">
        <w:rPr>
          <w:rFonts w:ascii="Times New Roman" w:hAnsi="Times New Roman" w:cs="Times New Roman"/>
          <w:color w:val="auto"/>
          <w:sz w:val="28"/>
          <w:szCs w:val="28"/>
        </w:rPr>
        <w:lastRenderedPageBreak/>
        <w:t>СПИСОК ИСПОЛЬЗОВАННЫХ ИСТОЧНИКОВ</w:t>
      </w:r>
      <w:bookmarkEnd w:id="11"/>
    </w:p>
    <w:p w14:paraId="6134BA33" w14:textId="77777777" w:rsidR="008E374D" w:rsidRPr="001D11C8" w:rsidRDefault="008E374D" w:rsidP="002F5F30">
      <w:pPr>
        <w:spacing w:after="0" w:line="360" w:lineRule="auto"/>
      </w:pPr>
    </w:p>
    <w:p w14:paraId="13BEE9F9" w14:textId="0CBB9F3F" w:rsidR="002F5F30" w:rsidRPr="001D11C8" w:rsidRDefault="002F5F30" w:rsidP="002F5F3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11C8">
        <w:rPr>
          <w:rFonts w:ascii="Times New Roman" w:hAnsi="Times New Roman" w:cs="Times New Roman"/>
          <w:sz w:val="28"/>
          <w:szCs w:val="28"/>
        </w:rPr>
        <w:t>Аскинадзи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, В. М.  Инвестиции. </w:t>
      </w:r>
      <w:proofErr w:type="gramStart"/>
      <w:r w:rsidRPr="001D11C8">
        <w:rPr>
          <w:rFonts w:ascii="Times New Roman" w:hAnsi="Times New Roman" w:cs="Times New Roman"/>
          <w:sz w:val="28"/>
          <w:szCs w:val="28"/>
        </w:rPr>
        <w:t>Практикум :</w:t>
      </w:r>
      <w:proofErr w:type="gramEnd"/>
      <w:r w:rsidRPr="001D11C8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М.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Аскинадзи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, В. Ф. Максимова. – </w:t>
      </w:r>
      <w:proofErr w:type="gramStart"/>
      <w:r w:rsidRPr="001D11C8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D11C8">
        <w:rPr>
          <w:rFonts w:ascii="Times New Roman" w:hAnsi="Times New Roman" w:cs="Times New Roman"/>
          <w:sz w:val="28"/>
          <w:szCs w:val="28"/>
        </w:rPr>
        <w:t xml:space="preserve"> Издательство Юрайт, 2020. – 399 с. – (Высшее образование).</w:t>
      </w:r>
    </w:p>
    <w:p w14:paraId="14D8FC1F" w14:textId="6340D5B5" w:rsidR="002F5F30" w:rsidRPr="001D11C8" w:rsidRDefault="002F5F30" w:rsidP="002F5F3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11C8">
        <w:rPr>
          <w:rFonts w:ascii="Times New Roman" w:hAnsi="Times New Roman" w:cs="Times New Roman"/>
          <w:sz w:val="28"/>
          <w:szCs w:val="28"/>
        </w:rPr>
        <w:t>Валинурова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, Л.С. Инвестирование: теория и </w:t>
      </w:r>
      <w:proofErr w:type="gramStart"/>
      <w:r w:rsidRPr="001D11C8">
        <w:rPr>
          <w:rFonts w:ascii="Times New Roman" w:hAnsi="Times New Roman" w:cs="Times New Roman"/>
          <w:sz w:val="28"/>
          <w:szCs w:val="28"/>
        </w:rPr>
        <w:t>практика :</w:t>
      </w:r>
      <w:proofErr w:type="gramEnd"/>
      <w:r w:rsidRPr="001D11C8">
        <w:rPr>
          <w:rFonts w:ascii="Times New Roman" w:hAnsi="Times New Roman" w:cs="Times New Roman"/>
          <w:sz w:val="28"/>
          <w:szCs w:val="28"/>
        </w:rPr>
        <w:t xml:space="preserve"> учебник /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Валинурова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Л.С., Казакова О.Б.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Москва : Русайнс, 2020. </w:t>
      </w:r>
      <w:r w:rsidR="00270227">
        <w:rPr>
          <w:rFonts w:ascii="Times New Roman" w:hAnsi="Times New Roman" w:cs="Times New Roman"/>
          <w:sz w:val="28"/>
          <w:szCs w:val="28"/>
        </w:rPr>
        <w:t xml:space="preserve">– </w:t>
      </w:r>
      <w:r w:rsidRPr="001D11C8">
        <w:rPr>
          <w:rFonts w:ascii="Times New Roman" w:hAnsi="Times New Roman" w:cs="Times New Roman"/>
          <w:sz w:val="28"/>
          <w:szCs w:val="28"/>
        </w:rPr>
        <w:t>410 с.</w:t>
      </w:r>
    </w:p>
    <w:p w14:paraId="11897AAB" w14:textId="54C49FC7" w:rsidR="002F5F30" w:rsidRPr="001D11C8" w:rsidRDefault="002F5F30" w:rsidP="002F5F3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Золотарев, В.С. Финансовый </w:t>
      </w:r>
      <w:proofErr w:type="gramStart"/>
      <w:r w:rsidRPr="001D11C8">
        <w:rPr>
          <w:rFonts w:ascii="Times New Roman" w:hAnsi="Times New Roman" w:cs="Times New Roman"/>
          <w:sz w:val="28"/>
          <w:szCs w:val="28"/>
        </w:rPr>
        <w:t>менеджмент :</w:t>
      </w:r>
      <w:proofErr w:type="gramEnd"/>
      <w:r w:rsidRPr="001D11C8">
        <w:rPr>
          <w:rFonts w:ascii="Times New Roman" w:hAnsi="Times New Roman" w:cs="Times New Roman"/>
          <w:sz w:val="28"/>
          <w:szCs w:val="28"/>
        </w:rPr>
        <w:t xml:space="preserve"> учебник / Золотарев В.С.,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Барашьян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В.Ю. и др.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Москва : КноРус, 2018.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519 с.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(бакалавриат).</w:t>
      </w:r>
    </w:p>
    <w:p w14:paraId="38A2C80E" w14:textId="40D76447" w:rsidR="002F5F30" w:rsidRPr="001D11C8" w:rsidRDefault="002F5F30" w:rsidP="002F5F3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Инвестиционный </w:t>
      </w:r>
      <w:proofErr w:type="gramStart"/>
      <w:r w:rsidRPr="001D11C8">
        <w:rPr>
          <w:rFonts w:ascii="Times New Roman" w:hAnsi="Times New Roman" w:cs="Times New Roman"/>
          <w:sz w:val="28"/>
          <w:szCs w:val="28"/>
        </w:rPr>
        <w:t>менеджмент :</w:t>
      </w:r>
      <w:proofErr w:type="gramEnd"/>
      <w:r w:rsidRPr="001D11C8">
        <w:rPr>
          <w:rFonts w:ascii="Times New Roman" w:hAnsi="Times New Roman" w:cs="Times New Roman"/>
          <w:sz w:val="28"/>
          <w:szCs w:val="28"/>
        </w:rPr>
        <w:t xml:space="preserve"> учебник / Лахметкина Н.И. под ред., Капранова Л.Д., Малофеев С.Н.,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Седаш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Т.Н.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Москва : КноРус, 2016.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262 с.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(бакалавриат и магистратура).</w:t>
      </w:r>
    </w:p>
    <w:p w14:paraId="49D375CC" w14:textId="331ED48E" w:rsidR="002F5F30" w:rsidRPr="001D11C8" w:rsidRDefault="002F5F30" w:rsidP="002F5F3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>Лысенко, Д.В. Финансовый менеджмент: Учебное пособие / Д.В. Лысенко. – М.: Инфра-М, 2019. – 372 c.</w:t>
      </w:r>
    </w:p>
    <w:p w14:paraId="40CD2AD2" w14:textId="02860820" w:rsidR="002F5F30" w:rsidRPr="001D11C8" w:rsidRDefault="002F5F30" w:rsidP="002F5F3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Мочалова, Л.А. Финансовый менеджмент (для бакалавров) / Л.А. Мочалова под ред., Касьянова А.В.,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Рау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 Э.И. – М.: КноРус, 2018. – 304 c.</w:t>
      </w:r>
    </w:p>
    <w:p w14:paraId="6AF268BF" w14:textId="1F6AD282" w:rsidR="002F5F30" w:rsidRPr="001D11C8" w:rsidRDefault="002F5F30" w:rsidP="002F5F3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Никитина, Т. В. Основы портфельного </w:t>
      </w:r>
      <w:proofErr w:type="gramStart"/>
      <w:r w:rsidRPr="001D11C8">
        <w:rPr>
          <w:rFonts w:ascii="Times New Roman" w:hAnsi="Times New Roman" w:cs="Times New Roman"/>
          <w:sz w:val="28"/>
          <w:szCs w:val="28"/>
        </w:rPr>
        <w:t>инвестирования :</w:t>
      </w:r>
      <w:proofErr w:type="gramEnd"/>
      <w:r w:rsidRPr="001D11C8">
        <w:rPr>
          <w:rFonts w:ascii="Times New Roman" w:hAnsi="Times New Roman" w:cs="Times New Roman"/>
          <w:sz w:val="28"/>
          <w:szCs w:val="28"/>
        </w:rPr>
        <w:t xml:space="preserve"> учебник для вузов / Т. В. Никитина, А. В.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Репета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-Турсунова, М. </w:t>
      </w:r>
      <w:proofErr w:type="spellStart"/>
      <w:r w:rsidRPr="001D11C8">
        <w:rPr>
          <w:rFonts w:ascii="Times New Roman" w:hAnsi="Times New Roman" w:cs="Times New Roman"/>
          <w:sz w:val="28"/>
          <w:szCs w:val="28"/>
        </w:rPr>
        <w:t>Фрёммель</w:t>
      </w:r>
      <w:proofErr w:type="spellEnd"/>
      <w:r w:rsidRPr="001D11C8">
        <w:rPr>
          <w:rFonts w:ascii="Times New Roman" w:hAnsi="Times New Roman" w:cs="Times New Roman"/>
          <w:sz w:val="28"/>
          <w:szCs w:val="28"/>
        </w:rPr>
        <w:t xml:space="preserve">, А. В. Ядрин.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11C8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D11C8">
        <w:rPr>
          <w:rFonts w:ascii="Times New Roman" w:hAnsi="Times New Roman" w:cs="Times New Roman"/>
          <w:sz w:val="28"/>
          <w:szCs w:val="28"/>
        </w:rPr>
        <w:t xml:space="preserve"> Издательство Юрайт, 2020.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195 с.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(Высшее образование).</w:t>
      </w:r>
    </w:p>
    <w:p w14:paraId="028562CF" w14:textId="615703E1" w:rsidR="002F5F30" w:rsidRPr="001D11C8" w:rsidRDefault="002F5F30" w:rsidP="002F5F3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Финансовый </w:t>
      </w:r>
      <w:proofErr w:type="gramStart"/>
      <w:r w:rsidRPr="001D11C8">
        <w:rPr>
          <w:rFonts w:ascii="Times New Roman" w:hAnsi="Times New Roman" w:cs="Times New Roman"/>
          <w:sz w:val="28"/>
          <w:szCs w:val="28"/>
        </w:rPr>
        <w:t>менеджмент :</w:t>
      </w:r>
      <w:proofErr w:type="gramEnd"/>
      <w:r w:rsidRPr="001D11C8">
        <w:rPr>
          <w:rFonts w:ascii="Times New Roman" w:hAnsi="Times New Roman" w:cs="Times New Roman"/>
          <w:sz w:val="28"/>
          <w:szCs w:val="28"/>
        </w:rPr>
        <w:t xml:space="preserve"> учебник / Шохин Е.И., под ред., и др.</w:t>
      </w:r>
      <w:r w:rsidR="00270227">
        <w:rPr>
          <w:rFonts w:ascii="Times New Roman" w:hAnsi="Times New Roman" w:cs="Times New Roman"/>
          <w:sz w:val="28"/>
          <w:szCs w:val="28"/>
        </w:rPr>
        <w:t>––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Москва : КноРус, 2019. </w:t>
      </w:r>
      <w:r w:rsidR="00270227">
        <w:rPr>
          <w:rFonts w:ascii="Times New Roman" w:hAnsi="Times New Roman" w:cs="Times New Roman"/>
          <w:sz w:val="28"/>
          <w:szCs w:val="28"/>
        </w:rPr>
        <w:t xml:space="preserve">– </w:t>
      </w:r>
      <w:r w:rsidRPr="001D11C8">
        <w:rPr>
          <w:rFonts w:ascii="Times New Roman" w:hAnsi="Times New Roman" w:cs="Times New Roman"/>
          <w:sz w:val="28"/>
          <w:szCs w:val="28"/>
        </w:rPr>
        <w:t xml:space="preserve">475 с. </w:t>
      </w:r>
      <w:r w:rsidR="00270227">
        <w:rPr>
          <w:rFonts w:ascii="Times New Roman" w:hAnsi="Times New Roman" w:cs="Times New Roman"/>
          <w:sz w:val="28"/>
          <w:szCs w:val="28"/>
        </w:rPr>
        <w:t>–</w:t>
      </w:r>
      <w:r w:rsidRPr="001D11C8">
        <w:rPr>
          <w:rFonts w:ascii="Times New Roman" w:hAnsi="Times New Roman" w:cs="Times New Roman"/>
          <w:sz w:val="28"/>
          <w:szCs w:val="28"/>
        </w:rPr>
        <w:t xml:space="preserve"> (бакалавриат).</w:t>
      </w:r>
    </w:p>
    <w:p w14:paraId="74059AD3" w14:textId="674E2FBF" w:rsidR="00E452E1" w:rsidRPr="001D11C8" w:rsidRDefault="002F5F30" w:rsidP="002F5F3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1C8">
        <w:rPr>
          <w:rFonts w:ascii="Times New Roman" w:hAnsi="Times New Roman" w:cs="Times New Roman"/>
          <w:sz w:val="28"/>
          <w:szCs w:val="28"/>
        </w:rPr>
        <w:t xml:space="preserve">Портфельные инвестиции: преимущества и риски </w:t>
      </w:r>
      <w:bookmarkStart w:id="12" w:name="_Hlk41938301"/>
      <w:r w:rsidRPr="001D11C8">
        <w:rPr>
          <w:rFonts w:ascii="Times New Roman" w:hAnsi="Times New Roman" w:cs="Times New Roman"/>
          <w:sz w:val="28"/>
          <w:szCs w:val="28"/>
        </w:rPr>
        <w:t xml:space="preserve">[Электронный ресурс]. — URL: </w:t>
      </w:r>
      <w:bookmarkEnd w:id="12"/>
      <w:r w:rsidRPr="001D11C8">
        <w:rPr>
          <w:rFonts w:ascii="Times New Roman" w:hAnsi="Times New Roman" w:cs="Times New Roman"/>
          <w:sz w:val="28"/>
          <w:szCs w:val="28"/>
        </w:rPr>
        <w:fldChar w:fldCharType="begin"/>
      </w:r>
      <w:r w:rsidRPr="001D11C8">
        <w:rPr>
          <w:rFonts w:ascii="Times New Roman" w:hAnsi="Times New Roman" w:cs="Times New Roman"/>
          <w:sz w:val="28"/>
          <w:szCs w:val="28"/>
        </w:rPr>
        <w:instrText xml:space="preserve"> HYPERLINK "https://www.fd.ru/articles/159441-portfelnye-investitsii-preimushchestva-i-riski" </w:instrText>
      </w:r>
      <w:r w:rsidRPr="001D11C8">
        <w:rPr>
          <w:rFonts w:ascii="Times New Roman" w:hAnsi="Times New Roman" w:cs="Times New Roman"/>
          <w:sz w:val="28"/>
          <w:szCs w:val="28"/>
        </w:rPr>
      </w:r>
      <w:r w:rsidRPr="001D11C8">
        <w:rPr>
          <w:rFonts w:ascii="Times New Roman" w:hAnsi="Times New Roman" w:cs="Times New Roman"/>
          <w:sz w:val="28"/>
          <w:szCs w:val="28"/>
        </w:rPr>
        <w:fldChar w:fldCharType="separate"/>
      </w:r>
      <w:r w:rsidRPr="001D11C8">
        <w:rPr>
          <w:rStyle w:val="a7"/>
          <w:rFonts w:ascii="Times New Roman" w:hAnsi="Times New Roman" w:cs="Times New Roman"/>
          <w:sz w:val="28"/>
          <w:szCs w:val="28"/>
        </w:rPr>
        <w:t>https://www.fd.ru/articles/159441-portfelnye-investitsii-preimushchestva-i-riski</w:t>
      </w:r>
      <w:r w:rsidRPr="001D11C8">
        <w:rPr>
          <w:rFonts w:ascii="Times New Roman" w:hAnsi="Times New Roman" w:cs="Times New Roman"/>
          <w:sz w:val="28"/>
          <w:szCs w:val="28"/>
        </w:rPr>
        <w:fldChar w:fldCharType="end"/>
      </w:r>
      <w:r w:rsidRPr="001D11C8">
        <w:rPr>
          <w:rFonts w:ascii="Times New Roman" w:hAnsi="Times New Roman" w:cs="Times New Roman"/>
          <w:sz w:val="28"/>
          <w:szCs w:val="28"/>
        </w:rPr>
        <w:t xml:space="preserve"> (дата обращения: 20.05.2020)</w:t>
      </w:r>
      <w:r w:rsidR="007248C8" w:rsidRPr="001D11C8">
        <w:rPr>
          <w:rFonts w:ascii="Times New Roman" w:hAnsi="Times New Roman" w:cs="Times New Roman"/>
          <w:sz w:val="28"/>
          <w:szCs w:val="28"/>
        </w:rPr>
        <w:t>.</w:t>
      </w:r>
    </w:p>
    <w:sectPr w:rsidR="00E452E1" w:rsidRPr="001D11C8" w:rsidSect="005219D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8AD6F" w14:textId="77777777" w:rsidR="003601BA" w:rsidRDefault="003601BA" w:rsidP="00D57A0D">
      <w:pPr>
        <w:spacing w:after="0" w:line="240" w:lineRule="auto"/>
      </w:pPr>
      <w:r>
        <w:separator/>
      </w:r>
    </w:p>
  </w:endnote>
  <w:endnote w:type="continuationSeparator" w:id="0">
    <w:p w14:paraId="500DFC11" w14:textId="77777777" w:rsidR="003601BA" w:rsidRDefault="003601BA" w:rsidP="00D57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67408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5682F89" w14:textId="18777066" w:rsidR="00D57A0D" w:rsidRPr="00A124D5" w:rsidRDefault="00D57A0D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124D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124D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124D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124D5">
          <w:rPr>
            <w:rFonts w:ascii="Times New Roman" w:hAnsi="Times New Roman" w:cs="Times New Roman"/>
            <w:sz w:val="20"/>
            <w:szCs w:val="20"/>
          </w:rPr>
          <w:t>2</w:t>
        </w:r>
        <w:r w:rsidRPr="00A124D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E099001" w14:textId="77777777" w:rsidR="00D57A0D" w:rsidRDefault="00D57A0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A9670" w14:textId="77777777" w:rsidR="003601BA" w:rsidRDefault="003601BA" w:rsidP="00D57A0D">
      <w:pPr>
        <w:spacing w:after="0" w:line="240" w:lineRule="auto"/>
      </w:pPr>
      <w:r>
        <w:separator/>
      </w:r>
    </w:p>
  </w:footnote>
  <w:footnote w:type="continuationSeparator" w:id="0">
    <w:p w14:paraId="531A32A5" w14:textId="77777777" w:rsidR="003601BA" w:rsidRDefault="003601BA" w:rsidP="00D57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A5EFF"/>
    <w:multiLevelType w:val="hybridMultilevel"/>
    <w:tmpl w:val="7C569326"/>
    <w:lvl w:ilvl="0" w:tplc="34C60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992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A0"/>
    <w:rsid w:val="00031076"/>
    <w:rsid w:val="000B25AD"/>
    <w:rsid w:val="00101527"/>
    <w:rsid w:val="00126C79"/>
    <w:rsid w:val="001D11C8"/>
    <w:rsid w:val="001F2D6D"/>
    <w:rsid w:val="00270227"/>
    <w:rsid w:val="002F5F30"/>
    <w:rsid w:val="003601BA"/>
    <w:rsid w:val="003B3EC9"/>
    <w:rsid w:val="003C434B"/>
    <w:rsid w:val="003D7C6E"/>
    <w:rsid w:val="003E5A12"/>
    <w:rsid w:val="003F236D"/>
    <w:rsid w:val="00440696"/>
    <w:rsid w:val="0045262F"/>
    <w:rsid w:val="00456336"/>
    <w:rsid w:val="004616D9"/>
    <w:rsid w:val="004B408F"/>
    <w:rsid w:val="004C7199"/>
    <w:rsid w:val="005219DE"/>
    <w:rsid w:val="0056251B"/>
    <w:rsid w:val="007248C8"/>
    <w:rsid w:val="00743261"/>
    <w:rsid w:val="007809A0"/>
    <w:rsid w:val="00797D30"/>
    <w:rsid w:val="007D6B6A"/>
    <w:rsid w:val="00806D38"/>
    <w:rsid w:val="008229EC"/>
    <w:rsid w:val="00846A24"/>
    <w:rsid w:val="008D6EBE"/>
    <w:rsid w:val="008E374D"/>
    <w:rsid w:val="008F263B"/>
    <w:rsid w:val="009442A1"/>
    <w:rsid w:val="00A124D5"/>
    <w:rsid w:val="00A40E43"/>
    <w:rsid w:val="00A816CB"/>
    <w:rsid w:val="00AB4362"/>
    <w:rsid w:val="00B51EDF"/>
    <w:rsid w:val="00B7003E"/>
    <w:rsid w:val="00B7043D"/>
    <w:rsid w:val="00BD5C2E"/>
    <w:rsid w:val="00C63371"/>
    <w:rsid w:val="00CA5014"/>
    <w:rsid w:val="00CA6689"/>
    <w:rsid w:val="00D03091"/>
    <w:rsid w:val="00D1717F"/>
    <w:rsid w:val="00D57A0D"/>
    <w:rsid w:val="00D672F3"/>
    <w:rsid w:val="00DE573E"/>
    <w:rsid w:val="00E452E1"/>
    <w:rsid w:val="00E90406"/>
    <w:rsid w:val="00EC1F5C"/>
    <w:rsid w:val="00EE2FF9"/>
    <w:rsid w:val="00F178AC"/>
    <w:rsid w:val="00F26E44"/>
    <w:rsid w:val="00F9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DC86"/>
  <w15:chartTrackingRefBased/>
  <w15:docId w15:val="{E1921052-06BC-4DD9-BDF9-B49733F9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EC9"/>
  </w:style>
  <w:style w:type="paragraph" w:styleId="1">
    <w:name w:val="heading 1"/>
    <w:basedOn w:val="a"/>
    <w:next w:val="a"/>
    <w:link w:val="10"/>
    <w:uiPriority w:val="9"/>
    <w:qFormat/>
    <w:rsid w:val="008229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7C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3B3E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B3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D7C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3D7C6E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59"/>
    <w:rsid w:val="00846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E5A12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8229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D672F3"/>
    <w:pPr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D672F3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D672F3"/>
    <w:pPr>
      <w:spacing w:after="100"/>
    </w:pPr>
  </w:style>
  <w:style w:type="character" w:styleId="a7">
    <w:name w:val="Hyperlink"/>
    <w:basedOn w:val="a0"/>
    <w:uiPriority w:val="99"/>
    <w:unhideWhenUsed/>
    <w:rsid w:val="00D672F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57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7A0D"/>
  </w:style>
  <w:style w:type="paragraph" w:styleId="aa">
    <w:name w:val="footer"/>
    <w:basedOn w:val="a"/>
    <w:link w:val="ab"/>
    <w:uiPriority w:val="99"/>
    <w:unhideWhenUsed/>
    <w:rsid w:val="00D57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7A0D"/>
  </w:style>
  <w:style w:type="character" w:styleId="ac">
    <w:name w:val="Unresolved Mention"/>
    <w:basedOn w:val="a0"/>
    <w:uiPriority w:val="99"/>
    <w:semiHidden/>
    <w:unhideWhenUsed/>
    <w:rsid w:val="002F5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6C0-0A7D-4433-A275-CDD5D9A8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15</Pages>
  <Words>3195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2020-06-09T14:48:00Z</dcterms:created>
  <dcterms:modified xsi:type="dcterms:W3CDTF">2022-06-24T11:03:00Z</dcterms:modified>
</cp:coreProperties>
</file>